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D95A" w14:textId="32E9B204" w:rsidR="004F4021" w:rsidRPr="004F4021" w:rsidRDefault="00123D04" w:rsidP="004F4021">
      <w:pPr>
        <w:jc w:val="center"/>
        <w:rPr>
          <w:rFonts w:ascii="Arial Rounded MT Bold" w:hAnsi="Arial Rounded MT Bold"/>
          <w:b/>
          <w:sz w:val="72"/>
          <w:szCs w:val="72"/>
        </w:rPr>
      </w:pPr>
      <w:r w:rsidRPr="00191209">
        <w:rPr>
          <w:rFonts w:ascii="Arial Rounded MT Bold" w:hAnsi="Arial Rounded MT Bold"/>
          <w:b/>
          <w:sz w:val="72"/>
          <w:szCs w:val="72"/>
        </w:rPr>
        <w:t>ST CLEOPAS C</w:t>
      </w:r>
      <w:r>
        <w:rPr>
          <w:rFonts w:ascii="Arial Rounded MT Bold" w:hAnsi="Arial Rounded MT Bold"/>
          <w:b/>
          <w:sz w:val="72"/>
          <w:szCs w:val="72"/>
        </w:rPr>
        <w:t xml:space="preserve"> of </w:t>
      </w:r>
      <w:r w:rsidRPr="00191209">
        <w:rPr>
          <w:rFonts w:ascii="Arial Rounded MT Bold" w:hAnsi="Arial Rounded MT Bold"/>
          <w:b/>
          <w:sz w:val="72"/>
          <w:szCs w:val="72"/>
        </w:rPr>
        <w:t>E PRIMARY SCHOOL</w:t>
      </w:r>
    </w:p>
    <w:p w14:paraId="5D7090C1" w14:textId="77777777" w:rsidR="00123D04" w:rsidRDefault="00702272" w:rsidP="00123D04">
      <w:pPr>
        <w:jc w:val="center"/>
        <w:rPr>
          <w:b/>
          <w:sz w:val="72"/>
          <w:szCs w:val="72"/>
        </w:rPr>
      </w:pPr>
      <w:r>
        <w:object w:dxaOrig="1440" w:dyaOrig="1440" w14:anchorId="716FF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40.25pt;margin-top:46pt;width:165.75pt;height:181.5pt;z-index:251659264;mso-wrap-edited:f;mso-width-percent:0;mso-height-percent:0;mso-width-percent:0;mso-height-percent:0">
            <v:imagedata r:id="rId7" o:title=""/>
            <w10:wrap type="topAndBottom"/>
          </v:shape>
          <o:OLEObject Type="Embed" ProgID="Imaging.Document" ShapeID="_x0000_s1026" DrawAspect="Content" ObjectID="_1613815925" r:id="rId8"/>
        </w:object>
      </w:r>
    </w:p>
    <w:p w14:paraId="426E21DE" w14:textId="77777777" w:rsidR="00123D04" w:rsidRPr="00B058DB" w:rsidRDefault="00123D04" w:rsidP="00123D04">
      <w:pPr>
        <w:jc w:val="center"/>
        <w:rPr>
          <w:rFonts w:ascii="Comic Sans MS" w:hAnsi="Comic Sans MS"/>
          <w:b/>
          <w:sz w:val="36"/>
          <w:szCs w:val="36"/>
        </w:rPr>
      </w:pPr>
      <w:r w:rsidRPr="00B058DB">
        <w:rPr>
          <w:rFonts w:ascii="Comic Sans MS" w:hAnsi="Comic Sans MS"/>
          <w:b/>
          <w:sz w:val="36"/>
          <w:szCs w:val="36"/>
        </w:rPr>
        <w:t>Live, Laugh, Learn</w:t>
      </w:r>
    </w:p>
    <w:p w14:paraId="16160EC1" w14:textId="49C888DC" w:rsidR="00123D04" w:rsidRDefault="00123D04" w:rsidP="00123D04">
      <w:pPr>
        <w:spacing w:after="192"/>
        <w:ind w:left="150"/>
        <w:jc w:val="center"/>
        <w:rPr>
          <w:rFonts w:ascii="Comic Sans MS" w:hAnsi="Comic Sans MS"/>
          <w:b/>
          <w:i/>
          <w:sz w:val="28"/>
          <w:szCs w:val="28"/>
        </w:rPr>
      </w:pPr>
      <w:r>
        <w:rPr>
          <w:rFonts w:ascii="Comic Sans MS" w:hAnsi="Comic Sans MS"/>
          <w:b/>
          <w:i/>
          <w:sz w:val="28"/>
          <w:szCs w:val="28"/>
        </w:rPr>
        <w:t>St Cleopas is committ</w:t>
      </w:r>
      <w:r w:rsidRPr="00613E31">
        <w:rPr>
          <w:rFonts w:ascii="Comic Sans MS" w:hAnsi="Comic Sans MS"/>
          <w:b/>
          <w:i/>
          <w:sz w:val="28"/>
          <w:szCs w:val="28"/>
        </w:rPr>
        <w:t>ed to safeguarding and promoting the welfare of children and young people. All staff, volunteers, parents, governors and visitors are expected to share this commitment. Any incident which causes safeguarding concerns should be brought to the attention of M</w:t>
      </w:r>
      <w:r w:rsidR="004F4021">
        <w:rPr>
          <w:rFonts w:ascii="Comic Sans MS" w:hAnsi="Comic Sans MS"/>
          <w:b/>
          <w:i/>
          <w:sz w:val="28"/>
          <w:szCs w:val="28"/>
        </w:rPr>
        <w:t>rs Gannon</w:t>
      </w:r>
      <w:r>
        <w:rPr>
          <w:rFonts w:ascii="Comic Sans MS" w:hAnsi="Comic Sans MS"/>
          <w:b/>
          <w:i/>
          <w:sz w:val="28"/>
          <w:szCs w:val="28"/>
        </w:rPr>
        <w:t xml:space="preserve"> (Headteacher), or Mr Fitzgerald (Deputy Head)</w:t>
      </w:r>
      <w:r w:rsidRPr="00613E31">
        <w:rPr>
          <w:rFonts w:ascii="Comic Sans MS" w:hAnsi="Comic Sans MS"/>
          <w:b/>
          <w:i/>
          <w:sz w:val="28"/>
          <w:szCs w:val="28"/>
        </w:rPr>
        <w:t>.</w:t>
      </w:r>
    </w:p>
    <w:p w14:paraId="6740B211" w14:textId="77777777" w:rsidR="00350B81" w:rsidRDefault="00350B81" w:rsidP="00350B81">
      <w:pPr>
        <w:spacing w:line="240" w:lineRule="auto"/>
        <w:jc w:val="center"/>
        <w:rPr>
          <w:b/>
          <w:sz w:val="36"/>
        </w:rPr>
      </w:pPr>
      <w:r w:rsidRPr="005D66D8">
        <w:rPr>
          <w:b/>
          <w:sz w:val="36"/>
        </w:rPr>
        <w:t>SEN Information Report</w:t>
      </w:r>
    </w:p>
    <w:p w14:paraId="37FC199B" w14:textId="77777777" w:rsidR="00123D04" w:rsidRDefault="00123D04" w:rsidP="00350B81">
      <w:pPr>
        <w:spacing w:line="240" w:lineRule="auto"/>
        <w:jc w:val="center"/>
        <w:rPr>
          <w:b/>
          <w:sz w:val="36"/>
        </w:rPr>
      </w:pPr>
      <w:r>
        <w:rPr>
          <w:b/>
          <w:sz w:val="36"/>
        </w:rPr>
        <w:t>‘Help Me to Help Myself’</w:t>
      </w:r>
    </w:p>
    <w:p w14:paraId="5D6F2A92" w14:textId="4A5F1BCB" w:rsidR="00123D04" w:rsidRDefault="00123D04" w:rsidP="00350B81">
      <w:pPr>
        <w:spacing w:line="240" w:lineRule="auto"/>
        <w:jc w:val="center"/>
        <w:rPr>
          <w:b/>
          <w:sz w:val="36"/>
        </w:rPr>
      </w:pPr>
    </w:p>
    <w:p w14:paraId="3DBA1A81" w14:textId="2797A5F3" w:rsidR="004F4021" w:rsidRDefault="004F4021" w:rsidP="00350B81">
      <w:pPr>
        <w:spacing w:line="240" w:lineRule="auto"/>
        <w:jc w:val="center"/>
        <w:rPr>
          <w:b/>
          <w:sz w:val="36"/>
        </w:rPr>
      </w:pPr>
    </w:p>
    <w:p w14:paraId="7FC62202" w14:textId="77777777" w:rsidR="004F4021" w:rsidRPr="0015784A" w:rsidRDefault="004F4021" w:rsidP="00350B81">
      <w:pPr>
        <w:spacing w:line="240" w:lineRule="auto"/>
        <w:jc w:val="center"/>
        <w:rPr>
          <w:b/>
          <w:sz w:val="36"/>
        </w:rPr>
      </w:pPr>
    </w:p>
    <w:p w14:paraId="0CC10606" w14:textId="5BA52705" w:rsidR="00936D28" w:rsidRPr="0015784A" w:rsidRDefault="004F4021" w:rsidP="004F4021">
      <w:pPr>
        <w:spacing w:line="240" w:lineRule="auto"/>
        <w:rPr>
          <w:b/>
        </w:rPr>
      </w:pPr>
      <w:r>
        <w:rPr>
          <w:b/>
        </w:rPr>
        <w:t>2018/2019</w:t>
      </w:r>
    </w:p>
    <w:p w14:paraId="6410C5A1" w14:textId="2D87887E" w:rsidR="00350B81" w:rsidRPr="0015784A" w:rsidRDefault="00B25B6D" w:rsidP="004F4021">
      <w:pPr>
        <w:spacing w:line="240" w:lineRule="auto"/>
        <w:rPr>
          <w:b/>
        </w:rPr>
      </w:pPr>
      <w:r w:rsidRPr="0015784A">
        <w:rPr>
          <w:b/>
        </w:rPr>
        <w:lastRenderedPageBreak/>
        <w:t>SEN</w:t>
      </w:r>
      <w:r w:rsidR="00D61496">
        <w:rPr>
          <w:b/>
        </w:rPr>
        <w:t>D</w:t>
      </w:r>
      <w:r w:rsidRPr="0015784A">
        <w:rPr>
          <w:b/>
        </w:rPr>
        <w:t>CO</w:t>
      </w:r>
      <w:r w:rsidR="00350B81" w:rsidRPr="0015784A">
        <w:rPr>
          <w:b/>
        </w:rPr>
        <w:t xml:space="preserve">: </w:t>
      </w:r>
      <w:r w:rsidR="00350B81" w:rsidRPr="0015784A">
        <w:rPr>
          <w:b/>
        </w:rPr>
        <w:tab/>
      </w:r>
      <w:r w:rsidR="00D61496">
        <w:rPr>
          <w:b/>
        </w:rPr>
        <w:t>Ms M Rufus</w:t>
      </w:r>
      <w:r w:rsidR="00D61496">
        <w:rPr>
          <w:b/>
        </w:rPr>
        <w:tab/>
      </w:r>
      <w:r w:rsidR="00D61496">
        <w:rPr>
          <w:b/>
        </w:rPr>
        <w:tab/>
      </w:r>
      <w:r w:rsidR="00D61496">
        <w:rPr>
          <w:b/>
        </w:rPr>
        <w:tab/>
      </w:r>
      <w:r w:rsidR="00350B81" w:rsidRPr="0015784A">
        <w:rPr>
          <w:b/>
        </w:rPr>
        <w:t>SEN</w:t>
      </w:r>
      <w:r w:rsidR="00D61496">
        <w:rPr>
          <w:b/>
        </w:rPr>
        <w:t>D</w:t>
      </w:r>
      <w:r w:rsidR="00350B81" w:rsidRPr="0015784A">
        <w:rPr>
          <w:b/>
        </w:rPr>
        <w:t xml:space="preserve"> Governor:</w:t>
      </w:r>
      <w:r w:rsidR="00275407">
        <w:rPr>
          <w:b/>
        </w:rPr>
        <w:t xml:space="preserve"> </w:t>
      </w:r>
      <w:r w:rsidR="004F4021">
        <w:rPr>
          <w:b/>
        </w:rPr>
        <w:t>Mrs Dot Williams</w:t>
      </w:r>
    </w:p>
    <w:p w14:paraId="727AAD31" w14:textId="77777777" w:rsidR="005D66D8" w:rsidRPr="0015784A" w:rsidRDefault="005D66D8" w:rsidP="004F4021">
      <w:pPr>
        <w:spacing w:line="240" w:lineRule="auto"/>
        <w:rPr>
          <w:b/>
        </w:rPr>
      </w:pPr>
      <w:r w:rsidRPr="0015784A">
        <w:rPr>
          <w:b/>
        </w:rPr>
        <w:t>Contact:</w:t>
      </w:r>
      <w:r w:rsidR="00123D04" w:rsidRPr="0015784A">
        <w:rPr>
          <w:b/>
        </w:rPr>
        <w:t xml:space="preserve"> 0151 727 1725</w:t>
      </w:r>
    </w:p>
    <w:p w14:paraId="67532CBB" w14:textId="1BA7C967" w:rsidR="005D66D8" w:rsidRPr="0015784A" w:rsidRDefault="005D66D8" w:rsidP="004F4021">
      <w:pPr>
        <w:spacing w:line="240" w:lineRule="auto"/>
        <w:rPr>
          <w:b/>
        </w:rPr>
      </w:pPr>
      <w:r w:rsidRPr="0015784A">
        <w:rPr>
          <w:b/>
        </w:rPr>
        <w:t>Dedicated SEN time:</w:t>
      </w:r>
      <w:r w:rsidR="00123D04" w:rsidRPr="0015784A">
        <w:rPr>
          <w:b/>
        </w:rPr>
        <w:t xml:space="preserve"> Tuesday</w:t>
      </w:r>
      <w:r w:rsidR="000C1C3C">
        <w:rPr>
          <w:b/>
        </w:rPr>
        <w:t xml:space="preserve"> </w:t>
      </w:r>
      <w:r w:rsidR="004F4021">
        <w:rPr>
          <w:b/>
        </w:rPr>
        <w:t xml:space="preserve">and Wednesday afternoon </w:t>
      </w:r>
      <w:r w:rsidR="00123D04" w:rsidRPr="0015784A">
        <w:rPr>
          <w:b/>
        </w:rPr>
        <w:t>with meeting and training times as necessary</w:t>
      </w:r>
    </w:p>
    <w:p w14:paraId="7CE7EC8E" w14:textId="77777777" w:rsidR="00350B81" w:rsidRPr="0015784A" w:rsidRDefault="00350B81" w:rsidP="004F4021">
      <w:pPr>
        <w:spacing w:line="240" w:lineRule="auto"/>
        <w:rPr>
          <w:b/>
        </w:rPr>
      </w:pPr>
      <w:r w:rsidRPr="0015784A">
        <w:rPr>
          <w:b/>
        </w:rPr>
        <w:t xml:space="preserve">Local Offer Contribution: </w:t>
      </w:r>
      <w:r w:rsidR="00123D04" w:rsidRPr="0015784A">
        <w:rPr>
          <w:b/>
        </w:rPr>
        <w:t>www.stcleopas.com</w:t>
      </w:r>
    </w:p>
    <w:p w14:paraId="686AEFA1" w14:textId="77777777" w:rsidR="00350B81" w:rsidRPr="00680600" w:rsidRDefault="00350B81" w:rsidP="004F4021">
      <w:pPr>
        <w:pBdr>
          <w:bottom w:val="single" w:sz="4" w:space="1" w:color="auto"/>
        </w:pBdr>
        <w:spacing w:line="240" w:lineRule="auto"/>
        <w:rPr>
          <w:b/>
          <w:sz w:val="24"/>
        </w:rPr>
      </w:pPr>
      <w:r w:rsidRPr="00680600">
        <w:rPr>
          <w:b/>
          <w:sz w:val="24"/>
        </w:rPr>
        <w:t>Whole School Approach:</w:t>
      </w:r>
    </w:p>
    <w:p w14:paraId="6977F0FE" w14:textId="77777777" w:rsidR="00680600" w:rsidRDefault="00680600" w:rsidP="004F4021">
      <w:pPr>
        <w:pStyle w:val="Default"/>
        <w:rPr>
          <w:rFonts w:asciiTheme="minorHAnsi" w:hAnsiTheme="minorHAnsi"/>
          <w:sz w:val="22"/>
        </w:rPr>
      </w:pPr>
      <w:r>
        <w:rPr>
          <w:rFonts w:asciiTheme="minorHAnsi" w:hAnsiTheme="minorHAnsi"/>
          <w:sz w:val="22"/>
        </w:rPr>
        <w:t xml:space="preserve">High quality first teaching and additional interventions are defined through our annual dialogue </w:t>
      </w:r>
      <w:r w:rsidR="00474937">
        <w:rPr>
          <w:rFonts w:asciiTheme="minorHAnsi" w:hAnsiTheme="minorHAnsi"/>
          <w:sz w:val="22"/>
        </w:rPr>
        <w:t xml:space="preserve">across the school </w:t>
      </w:r>
      <w:r>
        <w:rPr>
          <w:rFonts w:asciiTheme="minorHAnsi" w:hAnsiTheme="minorHAnsi"/>
          <w:sz w:val="22"/>
        </w:rPr>
        <w:t xml:space="preserve">contributing to our provision management approach. These documents help us </w:t>
      </w:r>
      <w:r w:rsidR="00474937">
        <w:rPr>
          <w:rFonts w:asciiTheme="minorHAnsi" w:hAnsiTheme="minorHAnsi"/>
          <w:sz w:val="22"/>
        </w:rPr>
        <w:t>to regularly</w:t>
      </w:r>
      <w:r>
        <w:rPr>
          <w:rFonts w:asciiTheme="minorHAnsi" w:hAnsiTheme="minorHAnsi"/>
          <w:sz w:val="22"/>
        </w:rPr>
        <w:t xml:space="preserve"> review and record what we offer </w:t>
      </w:r>
      <w:r w:rsidR="00474937">
        <w:rPr>
          <w:rFonts w:asciiTheme="minorHAnsi" w:hAnsiTheme="minorHAnsi"/>
          <w:sz w:val="22"/>
        </w:rPr>
        <w:t>EVERY</w:t>
      </w:r>
      <w:r w:rsidR="00B25B6D">
        <w:rPr>
          <w:rFonts w:asciiTheme="minorHAnsi" w:hAnsiTheme="minorHAnsi"/>
          <w:sz w:val="22"/>
        </w:rPr>
        <w:t xml:space="preserve"> child or </w:t>
      </w:r>
      <w:r>
        <w:rPr>
          <w:rFonts w:asciiTheme="minorHAnsi" w:hAnsiTheme="minorHAnsi"/>
          <w:sz w:val="22"/>
        </w:rPr>
        <w:t xml:space="preserve">young person in our care and what we offer additionally.  These discussions also serve to embed our </w:t>
      </w:r>
      <w:r w:rsidR="00474937">
        <w:rPr>
          <w:rFonts w:asciiTheme="minorHAnsi" w:hAnsiTheme="minorHAnsi"/>
          <w:sz w:val="22"/>
        </w:rPr>
        <w:t xml:space="preserve">high </w:t>
      </w:r>
      <w:r w:rsidR="00683DAA">
        <w:rPr>
          <w:rFonts w:asciiTheme="minorHAnsi" w:hAnsiTheme="minorHAnsi"/>
          <w:sz w:val="22"/>
        </w:rPr>
        <w:t>expectations among</w:t>
      </w:r>
      <w:r>
        <w:rPr>
          <w:rFonts w:asciiTheme="minorHAnsi" w:hAnsiTheme="minorHAnsi"/>
          <w:sz w:val="22"/>
        </w:rPr>
        <w:t xml:space="preserve"> staff about quality first</w:t>
      </w:r>
      <w:r w:rsidR="00474937">
        <w:rPr>
          <w:rFonts w:asciiTheme="minorHAnsi" w:hAnsiTheme="minorHAnsi"/>
          <w:sz w:val="22"/>
        </w:rPr>
        <w:t xml:space="preserve"> teaching and the application of</w:t>
      </w:r>
      <w:r>
        <w:rPr>
          <w:rFonts w:asciiTheme="minorHAnsi" w:hAnsiTheme="minorHAnsi"/>
          <w:sz w:val="22"/>
        </w:rPr>
        <w:t xml:space="preserve"> a differentiated and personalised approach to teaching and learning. </w:t>
      </w:r>
      <w:r w:rsidR="00474937">
        <w:rPr>
          <w:rFonts w:asciiTheme="minorHAnsi" w:hAnsiTheme="minorHAnsi"/>
          <w:sz w:val="22"/>
        </w:rPr>
        <w:t>We make it</w:t>
      </w:r>
      <w:r w:rsidR="00B25B6D">
        <w:rPr>
          <w:rFonts w:asciiTheme="minorHAnsi" w:hAnsiTheme="minorHAnsi"/>
          <w:sz w:val="22"/>
        </w:rPr>
        <w:t xml:space="preserve"> a</w:t>
      </w:r>
      <w:r w:rsidR="00474937">
        <w:rPr>
          <w:rFonts w:asciiTheme="minorHAnsi" w:hAnsiTheme="minorHAnsi"/>
          <w:sz w:val="22"/>
        </w:rPr>
        <w:t xml:space="preserve"> point to discuss aspirations with ALL our learners. </w:t>
      </w:r>
    </w:p>
    <w:p w14:paraId="396523A1" w14:textId="77777777" w:rsidR="00680600" w:rsidRDefault="00680600" w:rsidP="004F4021">
      <w:pPr>
        <w:pStyle w:val="Default"/>
        <w:rPr>
          <w:rFonts w:asciiTheme="minorHAnsi" w:hAnsiTheme="minorHAnsi"/>
          <w:sz w:val="22"/>
        </w:rPr>
      </w:pPr>
    </w:p>
    <w:p w14:paraId="7814ABC8" w14:textId="77777777" w:rsidR="00350B81" w:rsidRPr="00680600" w:rsidRDefault="00680600" w:rsidP="004F4021">
      <w:pPr>
        <w:pStyle w:val="Default"/>
        <w:rPr>
          <w:rFonts w:asciiTheme="minorHAnsi" w:hAnsiTheme="minorHAnsi"/>
          <w:sz w:val="22"/>
        </w:rPr>
      </w:pPr>
      <w:r w:rsidRPr="00680600">
        <w:rPr>
          <w:rFonts w:asciiTheme="minorHAnsi" w:hAnsiTheme="minorHAnsi"/>
          <w:sz w:val="22"/>
        </w:rPr>
        <w:t>Underpinning</w:t>
      </w:r>
      <w:r w:rsidR="00350B81" w:rsidRPr="00680600">
        <w:rPr>
          <w:rFonts w:asciiTheme="minorHAnsi" w:hAnsiTheme="minorHAnsi"/>
          <w:sz w:val="22"/>
        </w:rPr>
        <w:t xml:space="preserve"> ALL our provision in school is the </w:t>
      </w:r>
      <w:r w:rsidR="00350B81" w:rsidRPr="00680600">
        <w:rPr>
          <w:rFonts w:asciiTheme="minorHAnsi" w:hAnsiTheme="minorHAnsi"/>
          <w:b/>
          <w:sz w:val="22"/>
        </w:rPr>
        <w:t>graduate</w:t>
      </w:r>
      <w:r w:rsidR="00B25B6D">
        <w:rPr>
          <w:rFonts w:asciiTheme="minorHAnsi" w:hAnsiTheme="minorHAnsi"/>
          <w:b/>
          <w:sz w:val="22"/>
        </w:rPr>
        <w:t>d</w:t>
      </w:r>
      <w:r w:rsidR="00350B81" w:rsidRPr="00680600">
        <w:rPr>
          <w:rFonts w:asciiTheme="minorHAnsi" w:hAnsiTheme="minorHAnsi"/>
          <w:b/>
          <w:sz w:val="22"/>
        </w:rPr>
        <w:t xml:space="preserve"> approach</w:t>
      </w:r>
      <w:r w:rsidR="00350B81" w:rsidRPr="00680600">
        <w:rPr>
          <w:rFonts w:asciiTheme="minorHAnsi" w:hAnsiTheme="minorHAnsi"/>
          <w:sz w:val="22"/>
        </w:rPr>
        <w:t xml:space="preserve"> cycle of</w:t>
      </w:r>
      <w:r>
        <w:rPr>
          <w:rFonts w:asciiTheme="minorHAnsi" w:hAnsiTheme="minorHAnsi"/>
          <w:sz w:val="22"/>
        </w:rPr>
        <w:t>:</w:t>
      </w:r>
      <w:r w:rsidR="00350B81" w:rsidRPr="00680600">
        <w:rPr>
          <w:rFonts w:asciiTheme="minorHAnsi" w:hAnsiTheme="minorHAnsi"/>
          <w:sz w:val="22"/>
        </w:rPr>
        <w:t xml:space="preserve"> </w:t>
      </w:r>
    </w:p>
    <w:p w14:paraId="4C0EFEC2" w14:textId="77777777" w:rsidR="00350B81" w:rsidRDefault="00350B81" w:rsidP="004F4021">
      <w:pPr>
        <w:pStyle w:val="Default"/>
      </w:pPr>
      <w:r>
        <w:rPr>
          <w:noProof/>
          <w:lang w:val="en-US" w:eastAsia="en-US"/>
        </w:rPr>
        <w:drawing>
          <wp:inline distT="0" distB="0" distL="0" distR="0" wp14:anchorId="6FECD1BC" wp14:editId="6B370EB5">
            <wp:extent cx="5467350" cy="1504950"/>
            <wp:effectExtent l="0" t="0" r="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6502FEA" w14:textId="77777777" w:rsidR="00680600" w:rsidRDefault="00680600" w:rsidP="004F4021">
      <w:pPr>
        <w:pStyle w:val="Default"/>
        <w:spacing w:before="240" w:after="120"/>
        <w:rPr>
          <w:rFonts w:asciiTheme="minorHAnsi" w:hAnsiTheme="minorHAnsi"/>
          <w:sz w:val="22"/>
          <w:szCs w:val="22"/>
        </w:rPr>
      </w:pPr>
      <w:r w:rsidRPr="00680600">
        <w:rPr>
          <w:rFonts w:asciiTheme="minorHAnsi" w:hAnsiTheme="minorHAnsi"/>
          <w:sz w:val="22"/>
          <w:szCs w:val="22"/>
        </w:rPr>
        <w:t>All teachers are responsibl</w:t>
      </w:r>
      <w:r w:rsidR="00B25B6D">
        <w:rPr>
          <w:rFonts w:asciiTheme="minorHAnsi" w:hAnsiTheme="minorHAnsi"/>
          <w:sz w:val="22"/>
          <w:szCs w:val="22"/>
        </w:rPr>
        <w:t>e for every child in their care,</w:t>
      </w:r>
      <w:r w:rsidRPr="00680600">
        <w:rPr>
          <w:rFonts w:asciiTheme="minorHAnsi" w:hAnsiTheme="minorHAnsi"/>
          <w:sz w:val="22"/>
          <w:szCs w:val="22"/>
        </w:rPr>
        <w:t xml:space="preserve"> including those with special educational needs.</w:t>
      </w:r>
      <w:r>
        <w:rPr>
          <w:rFonts w:asciiTheme="minorHAnsi" w:hAnsiTheme="minorHAnsi"/>
          <w:sz w:val="22"/>
          <w:szCs w:val="22"/>
        </w:rPr>
        <w:t xml:space="preserve"> (</w:t>
      </w:r>
      <w:r w:rsidRPr="00680600">
        <w:rPr>
          <w:rFonts w:asciiTheme="minorHAnsi" w:hAnsiTheme="minorHAnsi"/>
          <w:b/>
          <w:sz w:val="22"/>
          <w:szCs w:val="22"/>
        </w:rPr>
        <w:t>Reference:</w:t>
      </w:r>
      <w:r>
        <w:rPr>
          <w:rFonts w:asciiTheme="minorHAnsi" w:hAnsiTheme="minorHAnsi"/>
          <w:sz w:val="22"/>
          <w:szCs w:val="22"/>
        </w:rPr>
        <w:t xml:space="preserve"> Teaching &amp; Learning Policy</w:t>
      </w:r>
      <w:r w:rsidR="00123D04">
        <w:rPr>
          <w:rFonts w:asciiTheme="minorHAnsi" w:hAnsiTheme="minorHAnsi"/>
          <w:i/>
          <w:color w:val="0070C0"/>
          <w:sz w:val="22"/>
          <w:szCs w:val="22"/>
        </w:rPr>
        <w:t xml:space="preserve"> </w:t>
      </w:r>
      <w:r>
        <w:rPr>
          <w:rFonts w:asciiTheme="minorHAnsi" w:hAnsiTheme="minorHAnsi"/>
          <w:sz w:val="22"/>
          <w:szCs w:val="22"/>
        </w:rPr>
        <w:t>)</w:t>
      </w:r>
    </w:p>
    <w:p w14:paraId="46939F1F" w14:textId="0AD45F86" w:rsidR="00680600" w:rsidRPr="004F4021" w:rsidRDefault="00680600" w:rsidP="004F4021">
      <w:pPr>
        <w:spacing w:before="240" w:after="120" w:line="240" w:lineRule="auto"/>
        <w:rPr>
          <w:rFonts w:ascii="Calibri" w:hAnsi="Calibri" w:cs="Arial"/>
          <w:color w:val="000000"/>
          <w:lang w:val="en"/>
        </w:rPr>
      </w:pPr>
      <w:r w:rsidRPr="00680600">
        <w:rPr>
          <w:b/>
        </w:rPr>
        <w:t>Assess:</w:t>
      </w:r>
      <w:r>
        <w:t xml:space="preserve">  </w:t>
      </w:r>
      <w:r w:rsidR="0015784A" w:rsidRPr="001059D1">
        <w:rPr>
          <w:rFonts w:ascii="Calibri" w:hAnsi="Calibri" w:cs="Arial"/>
          <w:color w:val="000000"/>
          <w:lang w:val="en"/>
        </w:rPr>
        <w:t>In Assessing a child/young person the school will carry out an analysis of the pupil’s needs which draws on the teacher’s assessments and experiences of the pupil, their previous progress and attainment. This is put in the context of the individual’s development compared to the school’s core approach to pupil’s progress, attainment and behavior and their peers and national data. The pupil’s own views are sought as are those of external support services if involved. The school liaises fully with outside agencies who are conducting the assessments. Any concerns by parents are actively listened to and recorded. Assess</w:t>
      </w:r>
      <w:r w:rsidR="0015784A">
        <w:rPr>
          <w:rFonts w:ascii="Calibri" w:hAnsi="Calibri" w:cs="Arial"/>
          <w:color w:val="000000"/>
          <w:lang w:val="en"/>
        </w:rPr>
        <w:t>ments are reviewed every term</w:t>
      </w:r>
      <w:r w:rsidR="0015784A" w:rsidRPr="001059D1">
        <w:rPr>
          <w:rFonts w:ascii="Calibri" w:hAnsi="Calibri" w:cs="Arial"/>
          <w:color w:val="000000"/>
          <w:lang w:val="en"/>
        </w:rPr>
        <w:t xml:space="preserve"> in our school.</w:t>
      </w:r>
    </w:p>
    <w:p w14:paraId="284C3883" w14:textId="77777777" w:rsidR="00680600" w:rsidRPr="00680600" w:rsidRDefault="00680600" w:rsidP="004F4021">
      <w:pPr>
        <w:pStyle w:val="Default"/>
        <w:spacing w:before="240" w:after="120"/>
        <w:rPr>
          <w:rFonts w:asciiTheme="minorHAnsi" w:hAnsiTheme="minorHAnsi"/>
          <w:b/>
          <w:sz w:val="22"/>
          <w:szCs w:val="22"/>
        </w:rPr>
      </w:pPr>
      <w:r w:rsidRPr="00680600">
        <w:rPr>
          <w:rFonts w:asciiTheme="minorHAnsi" w:hAnsiTheme="minorHAnsi"/>
          <w:b/>
          <w:sz w:val="22"/>
          <w:szCs w:val="22"/>
        </w:rPr>
        <w:t xml:space="preserve">Plan: </w:t>
      </w:r>
      <w:r w:rsidR="0015784A">
        <w:rPr>
          <w:rFonts w:asciiTheme="minorHAnsi" w:hAnsiTheme="minorHAnsi"/>
          <w:b/>
          <w:sz w:val="22"/>
          <w:szCs w:val="22"/>
        </w:rPr>
        <w:t xml:space="preserve"> </w:t>
      </w:r>
      <w:r w:rsidR="0015784A" w:rsidRPr="001059D1">
        <w:rPr>
          <w:rFonts w:ascii="Calibri" w:hAnsi="Calibri"/>
          <w:sz w:val="22"/>
          <w:szCs w:val="22"/>
          <w:lang w:val="en"/>
        </w:rPr>
        <w:t xml:space="preserve">We </w:t>
      </w:r>
      <w:proofErr w:type="spellStart"/>
      <w:r w:rsidR="0015784A" w:rsidRPr="001059D1">
        <w:rPr>
          <w:rFonts w:ascii="Calibri" w:hAnsi="Calibri"/>
          <w:sz w:val="22"/>
          <w:szCs w:val="22"/>
          <w:lang w:val="en"/>
        </w:rPr>
        <w:t>recognise</w:t>
      </w:r>
      <w:proofErr w:type="spellEnd"/>
      <w:r w:rsidR="0015784A" w:rsidRPr="001059D1">
        <w:rPr>
          <w:rFonts w:ascii="Calibri" w:hAnsi="Calibri"/>
          <w:sz w:val="22"/>
          <w:szCs w:val="22"/>
          <w:lang w:val="en"/>
        </w:rPr>
        <w:t xml:space="preserve"> that we </w:t>
      </w:r>
      <w:r w:rsidR="0015784A" w:rsidRPr="001059D1">
        <w:rPr>
          <w:rFonts w:ascii="Calibri" w:hAnsi="Calibri"/>
          <w:b/>
          <w:sz w:val="22"/>
          <w:szCs w:val="22"/>
          <w:lang w:val="en"/>
        </w:rPr>
        <w:t>must</w:t>
      </w:r>
      <w:r w:rsidR="0015784A" w:rsidRPr="001059D1">
        <w:rPr>
          <w:rFonts w:ascii="Calibri" w:hAnsi="Calibri"/>
          <w:sz w:val="22"/>
          <w:szCs w:val="22"/>
          <w:lang w:val="en"/>
        </w:rPr>
        <w:t xml:space="preserve"> formally notify parents if their child is being provided with SEN support despite prior involvement and communication. The teacher and SENCO agree in consultation with the parent and pupil the adjustments, interventions and support to be put in place as well as the expected impact on progress (outcomes), development or behavior along with a clear date for review.</w:t>
      </w:r>
    </w:p>
    <w:p w14:paraId="7F595187" w14:textId="77777777" w:rsidR="004F4021" w:rsidRDefault="004F4021" w:rsidP="004F4021">
      <w:pPr>
        <w:pStyle w:val="Default"/>
        <w:spacing w:before="240" w:after="120"/>
        <w:rPr>
          <w:rFonts w:asciiTheme="minorHAnsi" w:hAnsiTheme="minorHAnsi"/>
          <w:b/>
          <w:sz w:val="22"/>
          <w:szCs w:val="22"/>
        </w:rPr>
      </w:pPr>
    </w:p>
    <w:p w14:paraId="41654FCF" w14:textId="77777777" w:rsidR="004F4021" w:rsidRDefault="004F4021" w:rsidP="004F4021">
      <w:pPr>
        <w:pStyle w:val="Default"/>
        <w:spacing w:before="240" w:after="120"/>
        <w:rPr>
          <w:rFonts w:asciiTheme="minorHAnsi" w:hAnsiTheme="minorHAnsi"/>
          <w:b/>
          <w:sz w:val="22"/>
          <w:szCs w:val="22"/>
        </w:rPr>
      </w:pPr>
    </w:p>
    <w:p w14:paraId="0EE59E9D" w14:textId="77777777" w:rsidR="004F4021" w:rsidRDefault="004F4021" w:rsidP="004F4021">
      <w:pPr>
        <w:pStyle w:val="Default"/>
        <w:spacing w:before="240" w:after="120"/>
        <w:rPr>
          <w:rFonts w:asciiTheme="minorHAnsi" w:hAnsiTheme="minorHAnsi"/>
          <w:b/>
          <w:sz w:val="22"/>
          <w:szCs w:val="22"/>
        </w:rPr>
      </w:pPr>
    </w:p>
    <w:p w14:paraId="0F20C1AD" w14:textId="1A02AC94" w:rsidR="00680600" w:rsidRPr="00680600" w:rsidRDefault="00680600" w:rsidP="004F4021">
      <w:pPr>
        <w:pStyle w:val="Default"/>
        <w:spacing w:before="240" w:after="120"/>
        <w:rPr>
          <w:rFonts w:asciiTheme="minorHAnsi" w:hAnsiTheme="minorHAnsi"/>
          <w:b/>
          <w:sz w:val="22"/>
          <w:szCs w:val="22"/>
        </w:rPr>
      </w:pPr>
      <w:r w:rsidRPr="00680600">
        <w:rPr>
          <w:rFonts w:asciiTheme="minorHAnsi" w:hAnsiTheme="minorHAnsi"/>
          <w:b/>
          <w:sz w:val="22"/>
          <w:szCs w:val="22"/>
        </w:rPr>
        <w:lastRenderedPageBreak/>
        <w:t>Do:</w:t>
      </w:r>
      <w:r w:rsidRPr="00680600">
        <w:rPr>
          <w:rFonts w:asciiTheme="minorHAnsi" w:hAnsiTheme="minorHAnsi"/>
          <w:i/>
          <w:color w:val="0070C0"/>
          <w:sz w:val="22"/>
          <w:szCs w:val="22"/>
        </w:rPr>
        <w:t xml:space="preserve"> </w:t>
      </w:r>
      <w:r w:rsidR="0015784A" w:rsidRPr="001059D1">
        <w:rPr>
          <w:rFonts w:ascii="Calibri" w:hAnsi="Calibri"/>
          <w:sz w:val="22"/>
          <w:szCs w:val="22"/>
          <w:lang w:val="en"/>
        </w:rPr>
        <w:t>The School’s SENCO/Inclusion</w:t>
      </w:r>
      <w:r w:rsidR="0015784A">
        <w:rPr>
          <w:rFonts w:ascii="Calibri" w:hAnsi="Calibri"/>
          <w:sz w:val="22"/>
          <w:szCs w:val="22"/>
          <w:lang w:val="en"/>
        </w:rPr>
        <w:t xml:space="preserve"> Manager </w:t>
      </w:r>
      <w:proofErr w:type="spellStart"/>
      <w:r w:rsidR="0015784A">
        <w:rPr>
          <w:rFonts w:ascii="Calibri" w:hAnsi="Calibri"/>
          <w:sz w:val="22"/>
          <w:szCs w:val="22"/>
          <w:lang w:val="en"/>
        </w:rPr>
        <w:t>Ms</w:t>
      </w:r>
      <w:proofErr w:type="spellEnd"/>
      <w:r w:rsidR="0015784A">
        <w:rPr>
          <w:rFonts w:ascii="Calibri" w:hAnsi="Calibri"/>
          <w:sz w:val="22"/>
          <w:szCs w:val="22"/>
          <w:lang w:val="en"/>
        </w:rPr>
        <w:t xml:space="preserve"> Rufus </w:t>
      </w:r>
      <w:r w:rsidR="0015784A" w:rsidRPr="001059D1">
        <w:rPr>
          <w:rFonts w:ascii="Calibri" w:hAnsi="Calibri"/>
          <w:sz w:val="22"/>
          <w:szCs w:val="22"/>
          <w:lang w:val="en"/>
        </w:rPr>
        <w:t>supports the class or subject teacher in problem solving and advising on the effective implementation of support and in further assessments. The teacher remains responsible for working with the child and where the interventions involve group or one to one teaching away from the teacher they remain responsible for overseeing this and work closely with teaching assistants or specialist staff involved to plan and assess the impact of support and how they can be linked to classroom teaching.</w:t>
      </w:r>
    </w:p>
    <w:p w14:paraId="4094BC27" w14:textId="51815198" w:rsidR="00474937" w:rsidRPr="004F4021" w:rsidRDefault="00680600" w:rsidP="004F4021">
      <w:pPr>
        <w:spacing w:before="240" w:after="120" w:line="240" w:lineRule="auto"/>
        <w:rPr>
          <w:rFonts w:ascii="Calibri" w:hAnsi="Calibri" w:cs="Arial"/>
          <w:b/>
          <w:color w:val="000000"/>
          <w:lang w:val="en"/>
        </w:rPr>
      </w:pPr>
      <w:r w:rsidRPr="00680600">
        <w:rPr>
          <w:b/>
        </w:rPr>
        <w:t>Review:</w:t>
      </w:r>
      <w:r w:rsidRPr="00680600">
        <w:rPr>
          <w:i/>
          <w:color w:val="0070C0"/>
        </w:rPr>
        <w:t xml:space="preserve"> </w:t>
      </w:r>
      <w:r w:rsidR="0015784A" w:rsidRPr="001059D1">
        <w:rPr>
          <w:rFonts w:ascii="Calibri" w:hAnsi="Calibri" w:cs="Arial"/>
          <w:color w:val="000000"/>
          <w:lang w:val="en"/>
        </w:rPr>
        <w:t>Reviews are carried out on the agreed date. Some children have an EHC (Education, Health and Care Plan). These must be reviewed by the local authority in partnership with the school at least annually. These reviews are arranged at school and are part of the SENCO</w:t>
      </w:r>
      <w:r w:rsidR="004F4021">
        <w:rPr>
          <w:rFonts w:ascii="Calibri" w:hAnsi="Calibri" w:cs="Arial"/>
          <w:color w:val="000000"/>
          <w:lang w:val="en"/>
        </w:rPr>
        <w:t>’s</w:t>
      </w:r>
      <w:r w:rsidR="0015784A" w:rsidRPr="001059D1">
        <w:rPr>
          <w:rFonts w:ascii="Calibri" w:hAnsi="Calibri" w:cs="Arial"/>
          <w:color w:val="000000"/>
          <w:lang w:val="en"/>
        </w:rPr>
        <w:t xml:space="preserve"> role. When we review we evaluate the impact and quality of the support and take into account the views of the parents and pupils. This feeds back into the analysis of the pupil’s needs. The teacher working with the SENCO will revise the support in the light of the pupil’s progress and development and any changes to support and outcomes will be made in consultation with the parent and pupil. We strive to provide clear information to parents about the impact of support and interventions provided enabling them to be involved in planning next steps. In transition to another setting information to be passed on will be shared with parents and pupils and this may involve others being present at review meetings and the SENCO/Inclusion Manager attending meetings offsite to support the transition process.</w:t>
      </w:r>
    </w:p>
    <w:p w14:paraId="25030CB2" w14:textId="77777777" w:rsidR="00474937" w:rsidRPr="00474937" w:rsidRDefault="00474937" w:rsidP="004F4021">
      <w:pPr>
        <w:spacing w:line="240" w:lineRule="auto"/>
      </w:pPr>
      <w:r>
        <w:t xml:space="preserve">Having consulted with children, young people and their parents, all our additional provision (internal or external) is based on an agreed outcomes approach.  </w:t>
      </w:r>
    </w:p>
    <w:p w14:paraId="010ACB0E" w14:textId="77777777" w:rsidR="00E77C7D" w:rsidRPr="00E77C7D" w:rsidRDefault="00E77C7D" w:rsidP="004F4021">
      <w:pPr>
        <w:pStyle w:val="Default"/>
        <w:pBdr>
          <w:bottom w:val="single" w:sz="4" w:space="1" w:color="auto"/>
        </w:pBdr>
        <w:spacing w:before="240" w:after="120"/>
        <w:rPr>
          <w:rFonts w:asciiTheme="minorHAnsi" w:hAnsiTheme="minorHAnsi"/>
          <w:b/>
          <w:szCs w:val="23"/>
        </w:rPr>
      </w:pPr>
      <w:r w:rsidRPr="00E77C7D">
        <w:rPr>
          <w:rFonts w:asciiTheme="minorHAnsi" w:hAnsiTheme="minorHAnsi"/>
          <w:b/>
          <w:szCs w:val="23"/>
        </w:rPr>
        <w:t>SEN Needs:</w:t>
      </w:r>
    </w:p>
    <w:p w14:paraId="161C8904" w14:textId="77777777" w:rsidR="00680600" w:rsidRPr="004F4021" w:rsidRDefault="00680600" w:rsidP="004F4021">
      <w:pPr>
        <w:pStyle w:val="Default"/>
        <w:spacing w:before="240" w:after="120"/>
        <w:rPr>
          <w:rFonts w:asciiTheme="minorHAnsi" w:hAnsiTheme="minorHAnsi"/>
          <w:sz w:val="22"/>
          <w:szCs w:val="22"/>
        </w:rPr>
      </w:pPr>
      <w:r w:rsidRPr="004F4021">
        <w:rPr>
          <w:rFonts w:asciiTheme="minorHAnsi" w:hAnsiTheme="minorHAnsi"/>
          <w:sz w:val="22"/>
          <w:szCs w:val="22"/>
        </w:rPr>
        <w:t>Children and young p</w:t>
      </w:r>
      <w:r w:rsidR="00350B81" w:rsidRPr="004F4021">
        <w:rPr>
          <w:rFonts w:asciiTheme="minorHAnsi" w:hAnsiTheme="minorHAnsi"/>
          <w:sz w:val="22"/>
          <w:szCs w:val="22"/>
        </w:rPr>
        <w:t>eople’s SEN are generally thought of in the following four broad areas of need and</w:t>
      </w:r>
      <w:r w:rsidRPr="004F4021">
        <w:rPr>
          <w:rFonts w:asciiTheme="minorHAnsi" w:hAnsiTheme="minorHAnsi"/>
          <w:sz w:val="22"/>
          <w:szCs w:val="22"/>
        </w:rPr>
        <w:t xml:space="preserve"> support:</w:t>
      </w:r>
    </w:p>
    <w:p w14:paraId="59A543BD" w14:textId="7BEEC7F7" w:rsidR="004F4021" w:rsidRDefault="00680600" w:rsidP="004F4021">
      <w:pPr>
        <w:pStyle w:val="Default"/>
        <w:numPr>
          <w:ilvl w:val="0"/>
          <w:numId w:val="4"/>
        </w:numPr>
        <w:spacing w:before="240" w:after="120"/>
        <w:ind w:left="0"/>
        <w:rPr>
          <w:rFonts w:asciiTheme="minorHAnsi" w:hAnsiTheme="minorHAnsi"/>
          <w:sz w:val="22"/>
          <w:szCs w:val="22"/>
        </w:rPr>
      </w:pPr>
      <w:r w:rsidRPr="004F4021">
        <w:rPr>
          <w:rFonts w:asciiTheme="minorHAnsi" w:hAnsiTheme="minorHAnsi"/>
          <w:sz w:val="22"/>
          <w:szCs w:val="22"/>
        </w:rPr>
        <w:t>C</w:t>
      </w:r>
      <w:r w:rsidR="00350B81" w:rsidRPr="004F4021">
        <w:rPr>
          <w:rFonts w:asciiTheme="minorHAnsi" w:hAnsiTheme="minorHAnsi"/>
          <w:sz w:val="22"/>
          <w:szCs w:val="22"/>
        </w:rPr>
        <w:t xml:space="preserve">ommunication and interaction </w:t>
      </w:r>
    </w:p>
    <w:p w14:paraId="105D6C29" w14:textId="3C17019A" w:rsidR="0015784A" w:rsidRPr="004F4021" w:rsidRDefault="0015784A" w:rsidP="004F4021">
      <w:pPr>
        <w:pStyle w:val="Default"/>
        <w:numPr>
          <w:ilvl w:val="0"/>
          <w:numId w:val="4"/>
        </w:numPr>
        <w:spacing w:before="240" w:after="120"/>
        <w:ind w:left="0"/>
        <w:rPr>
          <w:rFonts w:asciiTheme="minorHAnsi" w:hAnsiTheme="minorHAnsi"/>
          <w:sz w:val="22"/>
          <w:szCs w:val="22"/>
        </w:rPr>
      </w:pPr>
      <w:r w:rsidRPr="004F4021">
        <w:rPr>
          <w:rFonts w:asciiTheme="minorHAnsi" w:hAnsiTheme="minorHAnsi"/>
          <w:color w:val="auto"/>
          <w:sz w:val="22"/>
          <w:szCs w:val="22"/>
        </w:rPr>
        <w:t>Details of Provision: Individual time tables and support plans, social stories, Home-school contact books, visual and sensory timetables and provision</w:t>
      </w:r>
    </w:p>
    <w:p w14:paraId="6B0B0AB4" w14:textId="77777777" w:rsidR="00350B81" w:rsidRPr="004F4021" w:rsidRDefault="00680600" w:rsidP="004F4021">
      <w:pPr>
        <w:pStyle w:val="Default"/>
        <w:numPr>
          <w:ilvl w:val="0"/>
          <w:numId w:val="4"/>
        </w:numPr>
        <w:spacing w:before="240" w:after="120"/>
        <w:ind w:left="0"/>
        <w:rPr>
          <w:rFonts w:asciiTheme="minorHAnsi" w:hAnsiTheme="minorHAnsi"/>
          <w:sz w:val="22"/>
          <w:szCs w:val="22"/>
        </w:rPr>
      </w:pPr>
      <w:r w:rsidRPr="004F4021">
        <w:rPr>
          <w:rFonts w:asciiTheme="minorHAnsi" w:hAnsiTheme="minorHAnsi"/>
          <w:sz w:val="22"/>
          <w:szCs w:val="22"/>
        </w:rPr>
        <w:t>C</w:t>
      </w:r>
      <w:r w:rsidR="00350B81" w:rsidRPr="004F4021">
        <w:rPr>
          <w:rFonts w:asciiTheme="minorHAnsi" w:hAnsiTheme="minorHAnsi"/>
          <w:sz w:val="22"/>
          <w:szCs w:val="22"/>
        </w:rPr>
        <w:t xml:space="preserve">ognition and learning </w:t>
      </w:r>
    </w:p>
    <w:p w14:paraId="21A682DE" w14:textId="7CEA7F9D" w:rsidR="0015784A" w:rsidRPr="004F4021" w:rsidRDefault="0015784A" w:rsidP="004F4021">
      <w:pPr>
        <w:pStyle w:val="Default"/>
        <w:spacing w:before="240" w:after="120"/>
        <w:rPr>
          <w:rFonts w:asciiTheme="minorHAnsi" w:hAnsiTheme="minorHAnsi"/>
          <w:sz w:val="22"/>
          <w:szCs w:val="22"/>
        </w:rPr>
      </w:pPr>
      <w:r w:rsidRPr="004F4021">
        <w:rPr>
          <w:rFonts w:asciiTheme="minorHAnsi" w:hAnsiTheme="minorHAnsi"/>
          <w:sz w:val="22"/>
          <w:szCs w:val="22"/>
        </w:rPr>
        <w:t>Details of Provision: Individual plans, differentiation of whole class tasks, target setting, additional resources to access learning including programmes of intervention from outside agencies</w:t>
      </w:r>
      <w:r w:rsidR="004F4021">
        <w:rPr>
          <w:rFonts w:asciiTheme="minorHAnsi" w:hAnsiTheme="minorHAnsi"/>
          <w:sz w:val="22"/>
          <w:szCs w:val="22"/>
        </w:rPr>
        <w:t>.</w:t>
      </w:r>
    </w:p>
    <w:p w14:paraId="0BF752A6" w14:textId="77777777" w:rsidR="00350B81" w:rsidRPr="004F4021" w:rsidRDefault="00680600" w:rsidP="004F4021">
      <w:pPr>
        <w:pStyle w:val="Default"/>
        <w:numPr>
          <w:ilvl w:val="0"/>
          <w:numId w:val="4"/>
        </w:numPr>
        <w:spacing w:before="240" w:after="120"/>
        <w:ind w:left="0"/>
        <w:rPr>
          <w:rFonts w:asciiTheme="minorHAnsi" w:hAnsiTheme="minorHAnsi"/>
          <w:sz w:val="22"/>
          <w:szCs w:val="22"/>
        </w:rPr>
      </w:pPr>
      <w:r w:rsidRPr="004F4021">
        <w:rPr>
          <w:rFonts w:asciiTheme="minorHAnsi" w:hAnsiTheme="minorHAnsi"/>
          <w:sz w:val="22"/>
          <w:szCs w:val="22"/>
        </w:rPr>
        <w:t>S</w:t>
      </w:r>
      <w:r w:rsidR="00350B81" w:rsidRPr="004F4021">
        <w:rPr>
          <w:rFonts w:asciiTheme="minorHAnsi" w:hAnsiTheme="minorHAnsi"/>
          <w:sz w:val="22"/>
          <w:szCs w:val="22"/>
        </w:rPr>
        <w:t xml:space="preserve">ocial, emotional and mental health </w:t>
      </w:r>
    </w:p>
    <w:p w14:paraId="2A2A4F2C" w14:textId="77777777" w:rsidR="00680600" w:rsidRPr="004F4021" w:rsidRDefault="0015784A" w:rsidP="004F4021">
      <w:pPr>
        <w:pStyle w:val="Default"/>
        <w:spacing w:before="240" w:after="120"/>
        <w:rPr>
          <w:rFonts w:asciiTheme="minorHAnsi" w:hAnsiTheme="minorHAnsi"/>
          <w:color w:val="auto"/>
          <w:sz w:val="22"/>
          <w:szCs w:val="22"/>
        </w:rPr>
      </w:pPr>
      <w:r w:rsidRPr="004F4021">
        <w:rPr>
          <w:rFonts w:asciiTheme="minorHAnsi" w:hAnsiTheme="minorHAnsi"/>
          <w:color w:val="auto"/>
          <w:sz w:val="22"/>
          <w:szCs w:val="22"/>
        </w:rPr>
        <w:t>Details of Provision: Learning Mentor, Circle of Friends, Kindness Weeks/programmes, Anti-bullying resources and theme weeks, Administration of medication, Meet the Headteacher lunchtimes</w:t>
      </w:r>
    </w:p>
    <w:p w14:paraId="342C0C8C" w14:textId="77777777" w:rsidR="00350B81" w:rsidRPr="004F4021" w:rsidRDefault="00680600" w:rsidP="004F4021">
      <w:pPr>
        <w:pStyle w:val="Default"/>
        <w:numPr>
          <w:ilvl w:val="0"/>
          <w:numId w:val="4"/>
        </w:numPr>
        <w:spacing w:before="240" w:after="120"/>
        <w:ind w:left="0"/>
        <w:rPr>
          <w:rFonts w:asciiTheme="minorHAnsi" w:hAnsiTheme="minorHAnsi"/>
          <w:sz w:val="22"/>
          <w:szCs w:val="22"/>
        </w:rPr>
      </w:pPr>
      <w:r w:rsidRPr="004F4021">
        <w:rPr>
          <w:rFonts w:asciiTheme="minorHAnsi" w:hAnsiTheme="minorHAnsi"/>
          <w:sz w:val="22"/>
          <w:szCs w:val="22"/>
        </w:rPr>
        <w:t>S</w:t>
      </w:r>
      <w:r w:rsidR="00350B81" w:rsidRPr="004F4021">
        <w:rPr>
          <w:rFonts w:asciiTheme="minorHAnsi" w:hAnsiTheme="minorHAnsi"/>
          <w:sz w:val="22"/>
          <w:szCs w:val="22"/>
        </w:rPr>
        <w:t xml:space="preserve">ensory and/or physical needs </w:t>
      </w:r>
    </w:p>
    <w:p w14:paraId="18EA2E3A" w14:textId="77777777" w:rsidR="0015784A" w:rsidRPr="004F4021" w:rsidRDefault="0015784A" w:rsidP="004F4021">
      <w:pPr>
        <w:pStyle w:val="Default"/>
        <w:spacing w:before="240" w:after="120"/>
        <w:rPr>
          <w:rFonts w:asciiTheme="minorHAnsi" w:hAnsiTheme="minorHAnsi"/>
          <w:sz w:val="22"/>
          <w:szCs w:val="22"/>
        </w:rPr>
      </w:pPr>
      <w:r w:rsidRPr="004F4021">
        <w:rPr>
          <w:rFonts w:asciiTheme="minorHAnsi" w:hAnsiTheme="minorHAnsi"/>
          <w:sz w:val="22"/>
          <w:szCs w:val="22"/>
        </w:rPr>
        <w:t>Details of Provision: Individual programmes, physiotherapy programmes, specialist equipment, support for attendance at hospital appointments, ICT equipment</w:t>
      </w:r>
    </w:p>
    <w:p w14:paraId="6AFC38F7" w14:textId="77777777" w:rsidR="0015784A" w:rsidRPr="004F4021" w:rsidRDefault="0015784A" w:rsidP="004F4021">
      <w:pPr>
        <w:pStyle w:val="Default"/>
        <w:spacing w:before="240" w:after="120"/>
        <w:rPr>
          <w:rFonts w:asciiTheme="minorHAnsi" w:hAnsiTheme="minorHAnsi"/>
          <w:sz w:val="22"/>
          <w:szCs w:val="22"/>
        </w:rPr>
      </w:pPr>
    </w:p>
    <w:p w14:paraId="637EB067" w14:textId="4A61E710" w:rsidR="00E77C7D" w:rsidRPr="004F4021" w:rsidRDefault="0015784A" w:rsidP="004F4021">
      <w:pPr>
        <w:pStyle w:val="Default"/>
        <w:spacing w:before="240" w:after="120"/>
        <w:rPr>
          <w:rFonts w:asciiTheme="minorHAnsi" w:hAnsiTheme="minorHAnsi"/>
          <w:sz w:val="22"/>
          <w:szCs w:val="22"/>
        </w:rPr>
      </w:pPr>
      <w:r w:rsidRPr="004F4021">
        <w:rPr>
          <w:rFonts w:asciiTheme="minorHAnsi" w:hAnsiTheme="minorHAnsi"/>
          <w:sz w:val="22"/>
          <w:szCs w:val="22"/>
        </w:rPr>
        <w:t>The above is not an exhaustive list and every effort is made to adapt the plans to the individual.</w:t>
      </w:r>
    </w:p>
    <w:p w14:paraId="0E4252A9" w14:textId="5BD18606" w:rsidR="00680600" w:rsidRPr="004F4021" w:rsidRDefault="00B25B6D" w:rsidP="004F4021">
      <w:pPr>
        <w:spacing w:line="240" w:lineRule="auto"/>
      </w:pPr>
      <w:r w:rsidRPr="004F4021">
        <w:lastRenderedPageBreak/>
        <w:t>As of</w:t>
      </w:r>
      <w:r w:rsidR="000C1C3C" w:rsidRPr="004F4021">
        <w:t xml:space="preserve"> September 201</w:t>
      </w:r>
      <w:r w:rsidR="004F4021" w:rsidRPr="004F4021">
        <w:t>9</w:t>
      </w:r>
      <w:r w:rsidR="000C1C3C" w:rsidRPr="004F4021">
        <w:t xml:space="preserve"> we have </w:t>
      </w:r>
      <w:r w:rsidR="004F4021" w:rsidRPr="004F4021">
        <w:t>64</w:t>
      </w:r>
      <w:r w:rsidR="002F5FB9" w:rsidRPr="004F4021">
        <w:t xml:space="preserve"> children or </w:t>
      </w:r>
      <w:r w:rsidR="00680600" w:rsidRPr="004F4021">
        <w:t>young people receiving some form of SEN</w:t>
      </w:r>
      <w:r w:rsidR="00D61496" w:rsidRPr="004F4021">
        <w:t>D</w:t>
      </w:r>
      <w:r w:rsidR="00680600" w:rsidRPr="004F4021">
        <w:t xml:space="preserve"> Support.</w:t>
      </w:r>
    </w:p>
    <w:p w14:paraId="2169DECF" w14:textId="77777777" w:rsidR="009B4A90" w:rsidRPr="004F4021" w:rsidRDefault="009B4A90" w:rsidP="004F4021">
      <w:pPr>
        <w:spacing w:line="240" w:lineRule="auto"/>
      </w:pPr>
      <w:r w:rsidRPr="004F4021">
        <w:t>We have internal process</w:t>
      </w:r>
      <w:r w:rsidR="00474937" w:rsidRPr="004F4021">
        <w:t>es</w:t>
      </w:r>
      <w:r w:rsidRPr="004F4021">
        <w:t xml:space="preserve"> for monitoring quality of provision and assessment of need</w:t>
      </w:r>
      <w:r w:rsidRPr="004F4021">
        <w:rPr>
          <w:i/>
          <w:color w:val="0070C0"/>
        </w:rPr>
        <w:t xml:space="preserve">. </w:t>
      </w:r>
      <w:r w:rsidR="00053A54" w:rsidRPr="004F4021">
        <w:t>These include:</w:t>
      </w:r>
    </w:p>
    <w:p w14:paraId="759574A0" w14:textId="77777777" w:rsidR="00E77C7D" w:rsidRPr="00E77C7D" w:rsidRDefault="00E77C7D" w:rsidP="004F4021">
      <w:pPr>
        <w:pBdr>
          <w:bottom w:val="single" w:sz="4" w:space="1" w:color="auto"/>
        </w:pBdr>
        <w:spacing w:line="240" w:lineRule="auto"/>
        <w:rPr>
          <w:b/>
          <w:sz w:val="24"/>
        </w:rPr>
      </w:pPr>
      <w:r w:rsidRPr="00E77C7D">
        <w:rPr>
          <w:b/>
          <w:sz w:val="24"/>
        </w:rPr>
        <w:t>Consulting with children, young people and their parents</w:t>
      </w:r>
    </w:p>
    <w:p w14:paraId="01A81EA2" w14:textId="77777777" w:rsidR="00680600" w:rsidRDefault="00680600" w:rsidP="004F4021">
      <w:pPr>
        <w:spacing w:line="240" w:lineRule="auto"/>
      </w:pPr>
      <w:r>
        <w:t>Involving parents and learners in the dialogue is central to our approach and we do this through</w:t>
      </w:r>
      <w:r w:rsidR="00E77C7D">
        <w:t>:</w:t>
      </w:r>
    </w:p>
    <w:tbl>
      <w:tblPr>
        <w:tblStyle w:val="TableGrid"/>
        <w:tblW w:w="0" w:type="auto"/>
        <w:tblLook w:val="04A0" w:firstRow="1" w:lastRow="0" w:firstColumn="1" w:lastColumn="0" w:noHBand="0" w:noVBand="1"/>
      </w:tblPr>
      <w:tblGrid>
        <w:gridCol w:w="2881"/>
        <w:gridCol w:w="2914"/>
        <w:gridCol w:w="2869"/>
      </w:tblGrid>
      <w:tr w:rsidR="00E77C7D" w14:paraId="12D1C725" w14:textId="77777777" w:rsidTr="00E77C7D">
        <w:tc>
          <w:tcPr>
            <w:tcW w:w="2963" w:type="dxa"/>
          </w:tcPr>
          <w:p w14:paraId="29ABCDBF" w14:textId="77777777" w:rsidR="00E77C7D" w:rsidRDefault="00E77C7D" w:rsidP="00350B81">
            <w:r>
              <w:t>Action/Event</w:t>
            </w:r>
          </w:p>
        </w:tc>
        <w:tc>
          <w:tcPr>
            <w:tcW w:w="2963" w:type="dxa"/>
          </w:tcPr>
          <w:p w14:paraId="3F00E843" w14:textId="77777777" w:rsidR="00E77C7D" w:rsidRDefault="00E77C7D" w:rsidP="00350B81">
            <w:r>
              <w:t>Who’s involved</w:t>
            </w:r>
          </w:p>
        </w:tc>
        <w:tc>
          <w:tcPr>
            <w:tcW w:w="2964" w:type="dxa"/>
          </w:tcPr>
          <w:p w14:paraId="20DB2972" w14:textId="77777777" w:rsidR="00E77C7D" w:rsidRDefault="00E77C7D" w:rsidP="00350B81">
            <w:r>
              <w:t>Frequency</w:t>
            </w:r>
          </w:p>
        </w:tc>
      </w:tr>
      <w:tr w:rsidR="00E77C7D" w14:paraId="22B58531" w14:textId="77777777" w:rsidTr="00E77C7D">
        <w:tc>
          <w:tcPr>
            <w:tcW w:w="2963" w:type="dxa"/>
          </w:tcPr>
          <w:p w14:paraId="14D189EC" w14:textId="77777777" w:rsidR="00E77C7D" w:rsidRDefault="00053A54" w:rsidP="00350B81">
            <w:r>
              <w:t xml:space="preserve">Consultation </w:t>
            </w:r>
          </w:p>
        </w:tc>
        <w:tc>
          <w:tcPr>
            <w:tcW w:w="2963" w:type="dxa"/>
          </w:tcPr>
          <w:p w14:paraId="45A4CE0B" w14:textId="77777777" w:rsidR="00E77C7D" w:rsidRDefault="00053A54" w:rsidP="00350B81">
            <w:r>
              <w:t>Class teacher</w:t>
            </w:r>
          </w:p>
        </w:tc>
        <w:tc>
          <w:tcPr>
            <w:tcW w:w="2964" w:type="dxa"/>
          </w:tcPr>
          <w:p w14:paraId="5E815562" w14:textId="77777777" w:rsidR="00E77C7D" w:rsidRDefault="00053A54" w:rsidP="00350B81">
            <w:r>
              <w:t>Termly</w:t>
            </w:r>
          </w:p>
        </w:tc>
      </w:tr>
      <w:tr w:rsidR="00E77C7D" w14:paraId="513002C2" w14:textId="77777777" w:rsidTr="00E77C7D">
        <w:tc>
          <w:tcPr>
            <w:tcW w:w="2963" w:type="dxa"/>
          </w:tcPr>
          <w:p w14:paraId="28C3748E" w14:textId="77777777" w:rsidR="00E77C7D" w:rsidRDefault="00053A54" w:rsidP="00350B81">
            <w:r>
              <w:t>Progress Reviews</w:t>
            </w:r>
          </w:p>
        </w:tc>
        <w:tc>
          <w:tcPr>
            <w:tcW w:w="2963" w:type="dxa"/>
          </w:tcPr>
          <w:p w14:paraId="6D5B3790" w14:textId="77777777" w:rsidR="00E77C7D" w:rsidRDefault="00053A54" w:rsidP="00350B81">
            <w:r>
              <w:t>Head/</w:t>
            </w:r>
            <w:proofErr w:type="spellStart"/>
            <w:r>
              <w:t>SENCo</w:t>
            </w:r>
            <w:proofErr w:type="spellEnd"/>
            <w:r>
              <w:t>/Class teacher/ Child</w:t>
            </w:r>
          </w:p>
        </w:tc>
        <w:tc>
          <w:tcPr>
            <w:tcW w:w="2964" w:type="dxa"/>
          </w:tcPr>
          <w:p w14:paraId="5F6F7031" w14:textId="77777777" w:rsidR="00E77C7D" w:rsidRDefault="00053A54" w:rsidP="00350B81">
            <w:r>
              <w:t>Termly</w:t>
            </w:r>
          </w:p>
        </w:tc>
      </w:tr>
      <w:tr w:rsidR="00E77C7D" w14:paraId="04685AB0" w14:textId="77777777" w:rsidTr="00E77C7D">
        <w:tc>
          <w:tcPr>
            <w:tcW w:w="2963" w:type="dxa"/>
          </w:tcPr>
          <w:p w14:paraId="39E6A917" w14:textId="77777777" w:rsidR="00E77C7D" w:rsidRDefault="00053A54" w:rsidP="00350B81">
            <w:r>
              <w:t>Progress Report</w:t>
            </w:r>
          </w:p>
        </w:tc>
        <w:tc>
          <w:tcPr>
            <w:tcW w:w="2963" w:type="dxa"/>
          </w:tcPr>
          <w:p w14:paraId="60F19E50" w14:textId="77777777" w:rsidR="00E77C7D" w:rsidRDefault="00053A54" w:rsidP="00350B81">
            <w:r>
              <w:t>Head/</w:t>
            </w:r>
            <w:proofErr w:type="spellStart"/>
            <w:r>
              <w:t>SENCo</w:t>
            </w:r>
            <w:proofErr w:type="spellEnd"/>
            <w:r>
              <w:t>/Parent</w:t>
            </w:r>
          </w:p>
        </w:tc>
        <w:tc>
          <w:tcPr>
            <w:tcW w:w="2964" w:type="dxa"/>
          </w:tcPr>
          <w:p w14:paraId="30533D6D" w14:textId="77777777" w:rsidR="00E77C7D" w:rsidRDefault="00053A54" w:rsidP="00350B81">
            <w:r>
              <w:t>Termly</w:t>
            </w:r>
          </w:p>
        </w:tc>
      </w:tr>
    </w:tbl>
    <w:p w14:paraId="326BCE7B" w14:textId="77777777" w:rsidR="00E77C7D" w:rsidRDefault="00E77C7D" w:rsidP="00350B81">
      <w:pPr>
        <w:spacing w:line="240" w:lineRule="auto"/>
      </w:pPr>
    </w:p>
    <w:p w14:paraId="6CDD1587" w14:textId="77777777" w:rsidR="00E77C7D" w:rsidRPr="00843187" w:rsidRDefault="00E77C7D" w:rsidP="00E77C7D">
      <w:pPr>
        <w:pBdr>
          <w:bottom w:val="single" w:sz="4" w:space="1" w:color="auto"/>
        </w:pBdr>
        <w:spacing w:line="240" w:lineRule="auto"/>
        <w:rPr>
          <w:b/>
          <w:sz w:val="24"/>
        </w:rPr>
      </w:pPr>
      <w:r w:rsidRPr="00843187">
        <w:rPr>
          <w:b/>
          <w:sz w:val="24"/>
        </w:rPr>
        <w:t>Staff development</w:t>
      </w:r>
    </w:p>
    <w:p w14:paraId="788FDBDE" w14:textId="77777777" w:rsidR="00E77C7D" w:rsidRDefault="00E77C7D" w:rsidP="00350B81">
      <w:pPr>
        <w:spacing w:line="240" w:lineRule="auto"/>
      </w:pPr>
      <w:r>
        <w:t>We are</w:t>
      </w:r>
      <w:r w:rsidR="002F5FB9">
        <w:t xml:space="preserve"> committed to developing the on</w:t>
      </w:r>
      <w:r>
        <w:t>going expertise of our staff.  We have current expertise in our school:</w:t>
      </w:r>
    </w:p>
    <w:tbl>
      <w:tblPr>
        <w:tblStyle w:val="TableGrid"/>
        <w:tblW w:w="0" w:type="auto"/>
        <w:tblLook w:val="04A0" w:firstRow="1" w:lastRow="0" w:firstColumn="1" w:lastColumn="0" w:noHBand="0" w:noVBand="1"/>
      </w:tblPr>
      <w:tblGrid>
        <w:gridCol w:w="2860"/>
        <w:gridCol w:w="2931"/>
        <w:gridCol w:w="2873"/>
      </w:tblGrid>
      <w:tr w:rsidR="00E77C7D" w14:paraId="527F4C95" w14:textId="77777777" w:rsidTr="00E77C7D">
        <w:tc>
          <w:tcPr>
            <w:tcW w:w="2963" w:type="dxa"/>
          </w:tcPr>
          <w:p w14:paraId="41F2CF5B" w14:textId="77777777" w:rsidR="00E77C7D" w:rsidRDefault="00E77C7D" w:rsidP="00350B81">
            <w:r>
              <w:t>Initial</w:t>
            </w:r>
            <w:r w:rsidR="00AB6251">
              <w:t>s</w:t>
            </w:r>
            <w:r>
              <w:t xml:space="preserve"> of person</w:t>
            </w:r>
          </w:p>
        </w:tc>
        <w:tc>
          <w:tcPr>
            <w:tcW w:w="2963" w:type="dxa"/>
          </w:tcPr>
          <w:p w14:paraId="1B09ABB4" w14:textId="77777777" w:rsidR="00E77C7D" w:rsidRDefault="00E77C7D" w:rsidP="00350B81">
            <w:r>
              <w:t>Area of expertise</w:t>
            </w:r>
          </w:p>
        </w:tc>
        <w:tc>
          <w:tcPr>
            <w:tcW w:w="2964" w:type="dxa"/>
          </w:tcPr>
          <w:p w14:paraId="5D0CE378" w14:textId="77777777" w:rsidR="00E77C7D" w:rsidRDefault="00E77C7D" w:rsidP="00350B81">
            <w:r>
              <w:t>Level (as per p58 of SEN Code of Practice 2014)</w:t>
            </w:r>
          </w:p>
        </w:tc>
      </w:tr>
      <w:tr w:rsidR="00E77C7D" w14:paraId="6CA6ECED" w14:textId="77777777" w:rsidTr="00E77C7D">
        <w:tc>
          <w:tcPr>
            <w:tcW w:w="2963" w:type="dxa"/>
          </w:tcPr>
          <w:p w14:paraId="78A9CFBC" w14:textId="4A5550A5" w:rsidR="00E77C7D" w:rsidRDefault="004F4021" w:rsidP="00350B81">
            <w:r>
              <w:t>MR</w:t>
            </w:r>
          </w:p>
        </w:tc>
        <w:tc>
          <w:tcPr>
            <w:tcW w:w="2963" w:type="dxa"/>
          </w:tcPr>
          <w:p w14:paraId="1E048639" w14:textId="77777777" w:rsidR="00E77C7D" w:rsidRDefault="004F4021" w:rsidP="00350B81">
            <w:r>
              <w:t xml:space="preserve">National </w:t>
            </w:r>
            <w:proofErr w:type="spellStart"/>
            <w:r>
              <w:t>SENCo</w:t>
            </w:r>
            <w:proofErr w:type="spellEnd"/>
            <w:r>
              <w:t xml:space="preserve"> award</w:t>
            </w:r>
          </w:p>
          <w:p w14:paraId="259356CF" w14:textId="2145ECF7" w:rsidR="004F4021" w:rsidRDefault="004F4021" w:rsidP="00350B81">
            <w:r>
              <w:t xml:space="preserve">PGCE in Special </w:t>
            </w:r>
            <w:proofErr w:type="spellStart"/>
            <w:r>
              <w:t>Eduacational</w:t>
            </w:r>
            <w:proofErr w:type="spellEnd"/>
            <w:r>
              <w:t xml:space="preserve"> Needs</w:t>
            </w:r>
          </w:p>
        </w:tc>
        <w:tc>
          <w:tcPr>
            <w:tcW w:w="2964" w:type="dxa"/>
          </w:tcPr>
          <w:p w14:paraId="20761240" w14:textId="77C8ED6C" w:rsidR="00E77C7D" w:rsidRDefault="004F4021" w:rsidP="00350B81">
            <w:r>
              <w:t>Specialist Leader</w:t>
            </w:r>
          </w:p>
        </w:tc>
      </w:tr>
      <w:tr w:rsidR="00E77C7D" w14:paraId="2394F6A1" w14:textId="77777777" w:rsidTr="00E77C7D">
        <w:tc>
          <w:tcPr>
            <w:tcW w:w="2963" w:type="dxa"/>
          </w:tcPr>
          <w:p w14:paraId="5ADC2B78" w14:textId="77777777" w:rsidR="00E77C7D" w:rsidRDefault="00053A54" w:rsidP="00350B81">
            <w:r>
              <w:t>IF</w:t>
            </w:r>
          </w:p>
        </w:tc>
        <w:tc>
          <w:tcPr>
            <w:tcW w:w="2963" w:type="dxa"/>
          </w:tcPr>
          <w:p w14:paraId="4B7C7FAC" w14:textId="77777777" w:rsidR="00E77C7D" w:rsidRDefault="00053A54" w:rsidP="00350B81">
            <w:r>
              <w:t>Behaviour Management/Engaging the Reluctant Learner</w:t>
            </w:r>
          </w:p>
        </w:tc>
        <w:tc>
          <w:tcPr>
            <w:tcW w:w="2964" w:type="dxa"/>
          </w:tcPr>
          <w:p w14:paraId="023AC49A" w14:textId="77777777" w:rsidR="00E77C7D" w:rsidRDefault="00053A54" w:rsidP="00350B81">
            <w:r>
              <w:t>Specialist Leader</w:t>
            </w:r>
          </w:p>
        </w:tc>
      </w:tr>
      <w:tr w:rsidR="00053A54" w14:paraId="705B6997" w14:textId="77777777" w:rsidTr="00E77C7D">
        <w:tc>
          <w:tcPr>
            <w:tcW w:w="2963" w:type="dxa"/>
          </w:tcPr>
          <w:p w14:paraId="61477C39" w14:textId="01CE529B" w:rsidR="00053A54" w:rsidRDefault="00CE34B0" w:rsidP="00350B81">
            <w:r>
              <w:t>PW</w:t>
            </w:r>
          </w:p>
        </w:tc>
        <w:tc>
          <w:tcPr>
            <w:tcW w:w="2963" w:type="dxa"/>
          </w:tcPr>
          <w:p w14:paraId="0E759244" w14:textId="77777777" w:rsidR="00053A54" w:rsidRDefault="00053A54" w:rsidP="00350B81">
            <w:r>
              <w:t>British Dyslexia Association Accreditation</w:t>
            </w:r>
            <w:r w:rsidR="00CE34B0">
              <w:t>/ Catch up Literacy/Talk Boost</w:t>
            </w:r>
          </w:p>
        </w:tc>
        <w:tc>
          <w:tcPr>
            <w:tcW w:w="2964" w:type="dxa"/>
          </w:tcPr>
          <w:p w14:paraId="4F790255" w14:textId="77777777" w:rsidR="00053A54" w:rsidRDefault="00053A54" w:rsidP="00350B81">
            <w:r>
              <w:t>HLTA</w:t>
            </w:r>
          </w:p>
        </w:tc>
      </w:tr>
      <w:tr w:rsidR="00053A54" w14:paraId="40823F13" w14:textId="77777777" w:rsidTr="00E77C7D">
        <w:tc>
          <w:tcPr>
            <w:tcW w:w="2963" w:type="dxa"/>
          </w:tcPr>
          <w:p w14:paraId="7DEEC993" w14:textId="77777777" w:rsidR="00053A54" w:rsidRDefault="00CE34B0" w:rsidP="00350B81">
            <w:r>
              <w:t>AB</w:t>
            </w:r>
          </w:p>
        </w:tc>
        <w:tc>
          <w:tcPr>
            <w:tcW w:w="2963" w:type="dxa"/>
          </w:tcPr>
          <w:p w14:paraId="4CB81931" w14:textId="77777777" w:rsidR="00053A54" w:rsidRDefault="00053A54" w:rsidP="00350B81">
            <w:r>
              <w:t xml:space="preserve">Emotional, Social and Mental Health Needs, First </w:t>
            </w:r>
            <w:proofErr w:type="spellStart"/>
            <w:r>
              <w:t>Class@Number</w:t>
            </w:r>
            <w:proofErr w:type="spellEnd"/>
            <w:r>
              <w:t>, Catch up Literacy</w:t>
            </w:r>
          </w:p>
        </w:tc>
        <w:tc>
          <w:tcPr>
            <w:tcW w:w="2964" w:type="dxa"/>
          </w:tcPr>
          <w:p w14:paraId="4DAB5254" w14:textId="77777777" w:rsidR="00053A54" w:rsidRDefault="00CE34B0" w:rsidP="00350B81">
            <w:r>
              <w:t>Learning Mentor</w:t>
            </w:r>
          </w:p>
        </w:tc>
      </w:tr>
      <w:tr w:rsidR="00CE34B0" w14:paraId="5295903D" w14:textId="77777777" w:rsidTr="00E77C7D">
        <w:tc>
          <w:tcPr>
            <w:tcW w:w="2963" w:type="dxa"/>
          </w:tcPr>
          <w:p w14:paraId="5FBA9E95" w14:textId="77777777" w:rsidR="00CE34B0" w:rsidRDefault="00CE34B0" w:rsidP="00350B81">
            <w:r>
              <w:t>J D/ FO’B</w:t>
            </w:r>
          </w:p>
        </w:tc>
        <w:tc>
          <w:tcPr>
            <w:tcW w:w="2963" w:type="dxa"/>
          </w:tcPr>
          <w:p w14:paraId="15629C70" w14:textId="77777777" w:rsidR="00CE34B0" w:rsidRDefault="00CE34B0" w:rsidP="00350B81">
            <w:proofErr w:type="spellStart"/>
            <w:r>
              <w:t>FirstClass@Number</w:t>
            </w:r>
            <w:proofErr w:type="spellEnd"/>
          </w:p>
        </w:tc>
        <w:tc>
          <w:tcPr>
            <w:tcW w:w="2964" w:type="dxa"/>
          </w:tcPr>
          <w:p w14:paraId="03183428" w14:textId="77777777" w:rsidR="00CE34B0" w:rsidRDefault="00CE34B0" w:rsidP="00350B81">
            <w:r>
              <w:t>LSA/HLTA</w:t>
            </w:r>
          </w:p>
        </w:tc>
      </w:tr>
      <w:tr w:rsidR="00D61496" w14:paraId="6D1EC959" w14:textId="77777777" w:rsidTr="00E77C7D">
        <w:tc>
          <w:tcPr>
            <w:tcW w:w="2963" w:type="dxa"/>
          </w:tcPr>
          <w:p w14:paraId="4ECB465C" w14:textId="77777777" w:rsidR="00D61496" w:rsidRDefault="00D61496" w:rsidP="00350B81">
            <w:r>
              <w:t>IH, MB, JD</w:t>
            </w:r>
          </w:p>
        </w:tc>
        <w:tc>
          <w:tcPr>
            <w:tcW w:w="2963" w:type="dxa"/>
          </w:tcPr>
          <w:p w14:paraId="67570BDD" w14:textId="77777777" w:rsidR="00D61496" w:rsidRDefault="00D61496" w:rsidP="00350B81">
            <w:r>
              <w:t>Project Code x – started September 2015</w:t>
            </w:r>
          </w:p>
        </w:tc>
        <w:tc>
          <w:tcPr>
            <w:tcW w:w="2964" w:type="dxa"/>
          </w:tcPr>
          <w:p w14:paraId="116F1254" w14:textId="77777777" w:rsidR="00D61496" w:rsidRDefault="00D61496" w:rsidP="00350B81">
            <w:r>
              <w:t>LSA</w:t>
            </w:r>
          </w:p>
        </w:tc>
      </w:tr>
      <w:tr w:rsidR="00D61496" w14:paraId="3F531CAB" w14:textId="77777777" w:rsidTr="00E77C7D">
        <w:tc>
          <w:tcPr>
            <w:tcW w:w="2963" w:type="dxa"/>
          </w:tcPr>
          <w:p w14:paraId="511F5B4F" w14:textId="77777777" w:rsidR="00D61496" w:rsidRDefault="00D61496" w:rsidP="00350B81">
            <w:r>
              <w:t>MB, GF</w:t>
            </w:r>
          </w:p>
        </w:tc>
        <w:tc>
          <w:tcPr>
            <w:tcW w:w="2963" w:type="dxa"/>
          </w:tcPr>
          <w:p w14:paraId="3AFEC8D4" w14:textId="77777777" w:rsidR="00D61496" w:rsidRDefault="00D61496" w:rsidP="00350B81">
            <w:r>
              <w:t>Dyslexia Friendly Practice</w:t>
            </w:r>
          </w:p>
        </w:tc>
        <w:tc>
          <w:tcPr>
            <w:tcW w:w="2964" w:type="dxa"/>
          </w:tcPr>
          <w:p w14:paraId="5B6B52C4" w14:textId="77777777" w:rsidR="00D61496" w:rsidRDefault="00D61496" w:rsidP="00350B81">
            <w:r>
              <w:t>LSA</w:t>
            </w:r>
          </w:p>
        </w:tc>
      </w:tr>
    </w:tbl>
    <w:p w14:paraId="727FA270" w14:textId="77777777" w:rsidR="00E77C7D" w:rsidRDefault="00E77C7D" w:rsidP="00E77C7D">
      <w:pPr>
        <w:tabs>
          <w:tab w:val="left" w:pos="1065"/>
        </w:tabs>
        <w:spacing w:line="240" w:lineRule="auto"/>
      </w:pPr>
      <w:r>
        <w:tab/>
      </w:r>
    </w:p>
    <w:p w14:paraId="5B31083C" w14:textId="77777777" w:rsidR="00E77C7D" w:rsidRPr="00E77C7D" w:rsidRDefault="00E77C7D" w:rsidP="000C1C3C">
      <w:pPr>
        <w:tabs>
          <w:tab w:val="left" w:pos="1065"/>
          <w:tab w:val="left" w:pos="5430"/>
        </w:tabs>
        <w:spacing w:line="240" w:lineRule="auto"/>
        <w:rPr>
          <w:b/>
          <w:sz w:val="24"/>
        </w:rPr>
      </w:pPr>
      <w:r w:rsidRPr="00E77C7D">
        <w:rPr>
          <w:b/>
          <w:sz w:val="24"/>
        </w:rPr>
        <w:t>Staff deployment</w:t>
      </w:r>
    </w:p>
    <w:p w14:paraId="0315CFC0" w14:textId="77777777" w:rsidR="00E77C7D" w:rsidRDefault="00E77C7D" w:rsidP="00E77C7D">
      <w:pPr>
        <w:spacing w:line="240" w:lineRule="auto"/>
        <w:jc w:val="both"/>
      </w:pPr>
      <w:r>
        <w:t xml:space="preserve">Considerable thought, planning </w:t>
      </w:r>
      <w:r w:rsidR="00474937">
        <w:t xml:space="preserve">and </w:t>
      </w:r>
      <w:r>
        <w:t>preparation goes into utilising our support staff to ensure children achieve the best outcomes, gain independence and are prepared for adulthood</w:t>
      </w:r>
      <w:r w:rsidR="00CE34B0">
        <w:t xml:space="preserve"> from the earliest possible age.</w:t>
      </w:r>
    </w:p>
    <w:p w14:paraId="1723495A" w14:textId="77777777" w:rsidR="00474937" w:rsidRPr="00E77C7D" w:rsidRDefault="00474937" w:rsidP="00E77C7D">
      <w:pPr>
        <w:spacing w:line="240" w:lineRule="auto"/>
        <w:jc w:val="both"/>
        <w:rPr>
          <w:i/>
          <w:color w:val="0070C0"/>
        </w:rPr>
      </w:pPr>
    </w:p>
    <w:p w14:paraId="3FC1C475" w14:textId="77777777" w:rsidR="00E77C7D" w:rsidRPr="00E77C7D" w:rsidRDefault="00E77C7D" w:rsidP="00E77C7D">
      <w:pPr>
        <w:pBdr>
          <w:bottom w:val="single" w:sz="4" w:space="1" w:color="auto"/>
        </w:pBdr>
        <w:spacing w:line="240" w:lineRule="auto"/>
        <w:rPr>
          <w:b/>
          <w:sz w:val="24"/>
        </w:rPr>
      </w:pPr>
      <w:r w:rsidRPr="00E77C7D">
        <w:rPr>
          <w:b/>
          <w:sz w:val="24"/>
        </w:rPr>
        <w:t>Finance</w:t>
      </w:r>
    </w:p>
    <w:p w14:paraId="079A9047" w14:textId="0089DAC3" w:rsidR="00E77C7D" w:rsidRPr="0009116A" w:rsidRDefault="00E77C7D" w:rsidP="00350B81">
      <w:pPr>
        <w:spacing w:line="240" w:lineRule="auto"/>
      </w:pPr>
      <w:r w:rsidRPr="0009116A">
        <w:lastRenderedPageBreak/>
        <w:t>Our no</w:t>
      </w:r>
      <w:r w:rsidR="00C562CA" w:rsidRPr="0009116A">
        <w:t>tional S</w:t>
      </w:r>
      <w:r w:rsidR="0009116A">
        <w:t xml:space="preserve">EN Budget this year is </w:t>
      </w:r>
      <w:r w:rsidR="00A5184B">
        <w:t>£1</w:t>
      </w:r>
      <w:r w:rsidR="00353D57">
        <w:t>91,400</w:t>
      </w:r>
      <w:bookmarkStart w:id="0" w:name="_GoBack"/>
      <w:bookmarkEnd w:id="0"/>
      <w:r w:rsidR="00C562CA" w:rsidRPr="0009116A">
        <w:t>,</w:t>
      </w:r>
      <w:r w:rsidR="00A5184B">
        <w:t xml:space="preserve"> however,</w:t>
      </w:r>
      <w:r w:rsidR="00C562CA" w:rsidRPr="0009116A">
        <w:t xml:space="preserve"> we commit considerably more to ensuring Inclusion for all </w:t>
      </w:r>
      <w:r w:rsidRPr="0009116A">
        <w:t xml:space="preserve">and the </w:t>
      </w:r>
      <w:r w:rsidR="00474937" w:rsidRPr="0009116A">
        <w:t xml:space="preserve">expenditure </w:t>
      </w:r>
      <w:r w:rsidR="00C562CA" w:rsidRPr="0009116A">
        <w:t xml:space="preserve">breakdown of that </w:t>
      </w:r>
      <w:r w:rsidR="00474937" w:rsidRPr="0009116A">
        <w:t>is</w:t>
      </w:r>
      <w:r w:rsidRPr="0009116A">
        <w:t xml:space="preserve"> as follows:</w:t>
      </w:r>
      <w:r w:rsidR="0009116A" w:rsidRPr="0009116A">
        <w:t xml:space="preserve"> </w:t>
      </w:r>
    </w:p>
    <w:p w14:paraId="4F9DAA1E" w14:textId="2391A191" w:rsidR="00E77C7D" w:rsidRPr="00353D57" w:rsidRDefault="00E77C7D" w:rsidP="00E77C7D">
      <w:pPr>
        <w:pStyle w:val="ListParagraph"/>
        <w:numPr>
          <w:ilvl w:val="0"/>
          <w:numId w:val="5"/>
        </w:numPr>
        <w:spacing w:line="240" w:lineRule="auto"/>
        <w:rPr>
          <w:color w:val="000000" w:themeColor="text1"/>
        </w:rPr>
      </w:pPr>
      <w:r w:rsidRPr="00353D57">
        <w:rPr>
          <w:color w:val="000000" w:themeColor="text1"/>
        </w:rPr>
        <w:t xml:space="preserve">Support staff (additional to quality first provision) = </w:t>
      </w:r>
      <w:r w:rsidR="00A05FBA" w:rsidRPr="00353D57">
        <w:rPr>
          <w:color w:val="000000" w:themeColor="text1"/>
        </w:rPr>
        <w:t>£2</w:t>
      </w:r>
      <w:r w:rsidR="00353D57" w:rsidRPr="00353D57">
        <w:rPr>
          <w:color w:val="000000" w:themeColor="text1"/>
        </w:rPr>
        <w:t>74,410</w:t>
      </w:r>
    </w:p>
    <w:p w14:paraId="6E940ED2" w14:textId="0B2EF5A0" w:rsidR="0009116A" w:rsidRPr="00353D57" w:rsidRDefault="0009116A" w:rsidP="00E77C7D">
      <w:pPr>
        <w:pStyle w:val="ListParagraph"/>
        <w:numPr>
          <w:ilvl w:val="0"/>
          <w:numId w:val="5"/>
        </w:numPr>
        <w:spacing w:line="240" w:lineRule="auto"/>
        <w:rPr>
          <w:color w:val="000000" w:themeColor="text1"/>
        </w:rPr>
      </w:pPr>
      <w:r w:rsidRPr="00353D57">
        <w:rPr>
          <w:color w:val="000000" w:themeColor="text1"/>
        </w:rPr>
        <w:t>1:1 provisi</w:t>
      </w:r>
      <w:r w:rsidR="00A5184B" w:rsidRPr="00353D57">
        <w:rPr>
          <w:color w:val="000000" w:themeColor="text1"/>
        </w:rPr>
        <w:t xml:space="preserve">on for </w:t>
      </w:r>
      <w:r w:rsidR="00353D57" w:rsidRPr="00353D57">
        <w:rPr>
          <w:color w:val="000000" w:themeColor="text1"/>
        </w:rPr>
        <w:t>3</w:t>
      </w:r>
      <w:r w:rsidR="00A5184B" w:rsidRPr="00353D57">
        <w:rPr>
          <w:color w:val="000000" w:themeColor="text1"/>
        </w:rPr>
        <w:t xml:space="preserve"> x </w:t>
      </w:r>
      <w:r w:rsidR="00353D57" w:rsidRPr="00353D57">
        <w:rPr>
          <w:color w:val="000000" w:themeColor="text1"/>
        </w:rPr>
        <w:t xml:space="preserve">2 </w:t>
      </w:r>
      <w:r w:rsidR="00A5184B" w:rsidRPr="00353D57">
        <w:rPr>
          <w:color w:val="000000" w:themeColor="text1"/>
        </w:rPr>
        <w:t>high need pupils: £</w:t>
      </w:r>
      <w:r w:rsidR="00353D57" w:rsidRPr="00353D57">
        <w:rPr>
          <w:color w:val="000000" w:themeColor="text1"/>
        </w:rPr>
        <w:t>63,354</w:t>
      </w:r>
    </w:p>
    <w:p w14:paraId="41098AE5" w14:textId="11F39BCD" w:rsidR="00C562CA" w:rsidRPr="00353D57" w:rsidRDefault="00E77C7D" w:rsidP="00E77C7D">
      <w:pPr>
        <w:pStyle w:val="ListParagraph"/>
        <w:numPr>
          <w:ilvl w:val="0"/>
          <w:numId w:val="5"/>
        </w:numPr>
        <w:spacing w:line="240" w:lineRule="auto"/>
        <w:rPr>
          <w:color w:val="000000" w:themeColor="text1"/>
        </w:rPr>
      </w:pPr>
      <w:r w:rsidRPr="00353D57">
        <w:rPr>
          <w:color w:val="000000" w:themeColor="text1"/>
        </w:rPr>
        <w:t>Additional teaching resources =</w:t>
      </w:r>
      <w:r w:rsidR="0009116A" w:rsidRPr="00353D57">
        <w:rPr>
          <w:color w:val="000000" w:themeColor="text1"/>
        </w:rPr>
        <w:t xml:space="preserve"> </w:t>
      </w:r>
      <w:r w:rsidR="00474937" w:rsidRPr="00353D57">
        <w:rPr>
          <w:color w:val="000000" w:themeColor="text1"/>
        </w:rPr>
        <w:t xml:space="preserve"> </w:t>
      </w:r>
      <w:r w:rsidR="0009116A" w:rsidRPr="00353D57">
        <w:rPr>
          <w:color w:val="000000" w:themeColor="text1"/>
        </w:rPr>
        <w:t>£</w:t>
      </w:r>
      <w:r w:rsidR="00353D57" w:rsidRPr="00353D57">
        <w:rPr>
          <w:color w:val="000000" w:themeColor="text1"/>
        </w:rPr>
        <w:t>32,000</w:t>
      </w:r>
    </w:p>
    <w:p w14:paraId="26224FBB" w14:textId="7D102F67" w:rsidR="00E77C7D" w:rsidRPr="00353D57" w:rsidRDefault="00E77C7D" w:rsidP="00E77C7D">
      <w:pPr>
        <w:pStyle w:val="ListParagraph"/>
        <w:numPr>
          <w:ilvl w:val="0"/>
          <w:numId w:val="5"/>
        </w:numPr>
        <w:spacing w:line="240" w:lineRule="auto"/>
        <w:rPr>
          <w:color w:val="000000" w:themeColor="text1"/>
        </w:rPr>
      </w:pPr>
      <w:r w:rsidRPr="00353D57">
        <w:rPr>
          <w:color w:val="000000" w:themeColor="text1"/>
        </w:rPr>
        <w:t>Training =</w:t>
      </w:r>
      <w:r w:rsidR="00A5184B" w:rsidRPr="00353D57">
        <w:rPr>
          <w:color w:val="000000" w:themeColor="text1"/>
        </w:rPr>
        <w:t xml:space="preserve"> £</w:t>
      </w:r>
      <w:r w:rsidR="00353D57" w:rsidRPr="00353D57">
        <w:rPr>
          <w:color w:val="000000" w:themeColor="text1"/>
        </w:rPr>
        <w:t>7,800</w:t>
      </w:r>
    </w:p>
    <w:p w14:paraId="0D5978ED" w14:textId="77777777" w:rsidR="009B4A90" w:rsidRDefault="009B4A90" w:rsidP="00474937">
      <w:pPr>
        <w:spacing w:line="240" w:lineRule="auto"/>
      </w:pPr>
      <w:r w:rsidRPr="009B4A90">
        <w:t>A full list of our external partners who we work with can be found</w:t>
      </w:r>
      <w:r>
        <w:t xml:space="preserve"> i</w:t>
      </w:r>
      <w:r w:rsidRPr="009B4A90">
        <w:t>n our contribution to the Local Offer.</w:t>
      </w:r>
      <w:r w:rsidR="00E706BA">
        <w:t xml:space="preserve">  Extending our</w:t>
      </w:r>
      <w:r w:rsidR="00474937">
        <w:t xml:space="preserve"> school approach, we commission using an outcomes-based approach.  This enables us to hold our partners and ourselves to account.</w:t>
      </w:r>
    </w:p>
    <w:p w14:paraId="3C80D438" w14:textId="77777777" w:rsidR="00E77C7D" w:rsidRDefault="00E77C7D" w:rsidP="00474937">
      <w:pPr>
        <w:spacing w:line="240" w:lineRule="auto"/>
      </w:pPr>
      <w:r w:rsidRPr="00C562CA">
        <w:t>We believe this has benefited our children/young people and their families</w:t>
      </w:r>
      <w:r w:rsidR="009B4A90" w:rsidRPr="00C562CA">
        <w:t xml:space="preserve"> in the following ways</w:t>
      </w:r>
      <w:r w:rsidRPr="00C562CA">
        <w:t>:</w:t>
      </w:r>
    </w:p>
    <w:p w14:paraId="355A440F" w14:textId="77777777" w:rsidR="00C562CA" w:rsidRDefault="00C562CA" w:rsidP="00C562CA">
      <w:pPr>
        <w:pStyle w:val="ListParagraph"/>
        <w:numPr>
          <w:ilvl w:val="0"/>
          <w:numId w:val="7"/>
        </w:numPr>
        <w:spacing w:line="240" w:lineRule="auto"/>
      </w:pPr>
      <w:r>
        <w:t>High achievement for KS2 pupils with disabilities</w:t>
      </w:r>
    </w:p>
    <w:p w14:paraId="62F1B383" w14:textId="77777777" w:rsidR="00C562CA" w:rsidRDefault="00C562CA" w:rsidP="00C562CA">
      <w:pPr>
        <w:pStyle w:val="ListParagraph"/>
        <w:numPr>
          <w:ilvl w:val="0"/>
          <w:numId w:val="7"/>
        </w:numPr>
        <w:spacing w:line="240" w:lineRule="auto"/>
      </w:pPr>
      <w:r>
        <w:t>Emotional needs of a variety of children met to prevent exclusion</w:t>
      </w:r>
    </w:p>
    <w:p w14:paraId="6D808E0A" w14:textId="77777777" w:rsidR="00C562CA" w:rsidRDefault="00C562CA" w:rsidP="00C562CA">
      <w:pPr>
        <w:pStyle w:val="ListParagraph"/>
        <w:numPr>
          <w:ilvl w:val="0"/>
          <w:numId w:val="7"/>
        </w:numPr>
        <w:spacing w:line="240" w:lineRule="auto"/>
      </w:pPr>
      <w:r>
        <w:t>Specialist interventions to aid progress across all classes</w:t>
      </w:r>
    </w:p>
    <w:p w14:paraId="77D61396" w14:textId="77777777" w:rsidR="00C562CA" w:rsidRDefault="004206F8" w:rsidP="00C562CA">
      <w:pPr>
        <w:pStyle w:val="ListParagraph"/>
        <w:numPr>
          <w:ilvl w:val="0"/>
          <w:numId w:val="7"/>
        </w:numPr>
        <w:spacing w:line="240" w:lineRule="auto"/>
      </w:pPr>
      <w:r>
        <w:t>Parent support to access Ad</w:t>
      </w:r>
      <w:r w:rsidR="00455E9C">
        <w:t>-</w:t>
      </w:r>
      <w:r>
        <w:t>action and Domestic Violence Support Services – Operation Encompass</w:t>
      </w:r>
    </w:p>
    <w:p w14:paraId="6ABA485E" w14:textId="77777777" w:rsidR="004206F8" w:rsidRDefault="004206F8" w:rsidP="00C562CA">
      <w:pPr>
        <w:pStyle w:val="ListParagraph"/>
        <w:numPr>
          <w:ilvl w:val="0"/>
          <w:numId w:val="7"/>
        </w:numPr>
        <w:spacing w:line="240" w:lineRule="auto"/>
      </w:pPr>
      <w:r>
        <w:t>Purchase of specialist equipment to ensure children have tactile, sensory and ICT support</w:t>
      </w:r>
    </w:p>
    <w:p w14:paraId="07772720" w14:textId="77777777" w:rsidR="004206F8" w:rsidRDefault="004206F8" w:rsidP="00C562CA">
      <w:pPr>
        <w:pStyle w:val="ListParagraph"/>
        <w:numPr>
          <w:ilvl w:val="0"/>
          <w:numId w:val="7"/>
        </w:numPr>
        <w:spacing w:line="240" w:lineRule="auto"/>
      </w:pPr>
      <w:r>
        <w:t>Services of a specialist trained counsellor</w:t>
      </w:r>
    </w:p>
    <w:p w14:paraId="0124BC76" w14:textId="77777777" w:rsidR="004206F8" w:rsidRDefault="004206F8" w:rsidP="00C562CA">
      <w:pPr>
        <w:pStyle w:val="ListParagraph"/>
        <w:numPr>
          <w:ilvl w:val="0"/>
          <w:numId w:val="7"/>
        </w:numPr>
        <w:spacing w:line="240" w:lineRule="auto"/>
      </w:pPr>
      <w:r>
        <w:t>Bereavement services</w:t>
      </w:r>
    </w:p>
    <w:p w14:paraId="795EB96E" w14:textId="77777777" w:rsidR="004206F8" w:rsidRPr="00C562CA" w:rsidRDefault="004206F8" w:rsidP="004206F8">
      <w:pPr>
        <w:pStyle w:val="ListParagraph"/>
        <w:spacing w:line="240" w:lineRule="auto"/>
      </w:pPr>
    </w:p>
    <w:p w14:paraId="41FCA480" w14:textId="77777777" w:rsidR="009B4A90" w:rsidRPr="009B4A90" w:rsidRDefault="009B4A90" w:rsidP="009B4A90">
      <w:pPr>
        <w:pBdr>
          <w:bottom w:val="single" w:sz="4" w:space="1" w:color="auto"/>
        </w:pBdr>
        <w:spacing w:line="240" w:lineRule="auto"/>
        <w:rPr>
          <w:b/>
          <w:sz w:val="24"/>
        </w:rPr>
      </w:pPr>
      <w:r w:rsidRPr="009B4A90">
        <w:rPr>
          <w:b/>
          <w:sz w:val="24"/>
        </w:rPr>
        <w:t>School Partnerships and Transitions</w:t>
      </w:r>
    </w:p>
    <w:p w14:paraId="143FAB54" w14:textId="77777777" w:rsidR="009B4A90" w:rsidRPr="009B4A90" w:rsidRDefault="009B4A90" w:rsidP="009B4A90">
      <w:pPr>
        <w:spacing w:line="240" w:lineRule="auto"/>
      </w:pPr>
      <w:r w:rsidRPr="009B4A90">
        <w:t>Our a</w:t>
      </w:r>
      <w:r w:rsidR="00986A9F">
        <w:t xml:space="preserve">cademic assessment for children and </w:t>
      </w:r>
      <w:r w:rsidRPr="009B4A90">
        <w:t>young people with special educational needs is moderated through our cluster of schools</w:t>
      </w:r>
      <w:r w:rsidR="00986A9F">
        <w:t xml:space="preserve"> and </w:t>
      </w:r>
      <w:r w:rsidRPr="009B4A90">
        <w:t>neighbouring partners</w:t>
      </w:r>
      <w:r w:rsidR="004206F8">
        <w:t xml:space="preserve"> – SEN Consortia</w:t>
      </w:r>
      <w:r w:rsidRPr="009B4A90">
        <w:t>.</w:t>
      </w:r>
      <w:r>
        <w:t xml:space="preserve">  </w:t>
      </w:r>
    </w:p>
    <w:p w14:paraId="311E4251" w14:textId="77777777" w:rsidR="009B4A90" w:rsidRDefault="009B4A90" w:rsidP="009B4A90">
      <w:pPr>
        <w:spacing w:line="240" w:lineRule="auto"/>
      </w:pPr>
      <w:r w:rsidRPr="004206F8">
        <w:t>Our approach involved:</w:t>
      </w:r>
    </w:p>
    <w:p w14:paraId="70E2E9DA" w14:textId="77777777" w:rsidR="004206F8" w:rsidRDefault="00237AA6" w:rsidP="004206F8">
      <w:pPr>
        <w:pStyle w:val="ListParagraph"/>
        <w:numPr>
          <w:ilvl w:val="0"/>
          <w:numId w:val="8"/>
        </w:numPr>
        <w:spacing w:line="240" w:lineRule="auto"/>
      </w:pPr>
      <w:r>
        <w:t>Sharing of Safeguarding information</w:t>
      </w:r>
    </w:p>
    <w:p w14:paraId="4C323486" w14:textId="77777777" w:rsidR="00237AA6" w:rsidRDefault="00237AA6" w:rsidP="004206F8">
      <w:pPr>
        <w:pStyle w:val="ListParagraph"/>
        <w:numPr>
          <w:ilvl w:val="0"/>
          <w:numId w:val="8"/>
        </w:numPr>
        <w:spacing w:line="240" w:lineRule="auto"/>
      </w:pPr>
      <w:r>
        <w:t>Sharing and monitoring of barriers to learning information</w:t>
      </w:r>
    </w:p>
    <w:p w14:paraId="0A7BFB82" w14:textId="77777777" w:rsidR="00237AA6" w:rsidRDefault="00237AA6" w:rsidP="004206F8">
      <w:pPr>
        <w:pStyle w:val="ListParagraph"/>
        <w:numPr>
          <w:ilvl w:val="0"/>
          <w:numId w:val="8"/>
        </w:numPr>
        <w:spacing w:line="240" w:lineRule="auto"/>
      </w:pPr>
      <w:r>
        <w:t>Transition meetings with new schools</w:t>
      </w:r>
    </w:p>
    <w:p w14:paraId="516C5C0E" w14:textId="77777777" w:rsidR="00237AA6" w:rsidRDefault="00237AA6" w:rsidP="004206F8">
      <w:pPr>
        <w:pStyle w:val="ListParagraph"/>
        <w:numPr>
          <w:ilvl w:val="0"/>
          <w:numId w:val="8"/>
        </w:numPr>
        <w:spacing w:line="240" w:lineRule="auto"/>
      </w:pPr>
      <w:r>
        <w:t>Follow up meetings in the Autumn term after transition</w:t>
      </w:r>
    </w:p>
    <w:p w14:paraId="451456E8" w14:textId="3ADCC7CC" w:rsidR="00237AA6" w:rsidRDefault="00237AA6" w:rsidP="004206F8">
      <w:pPr>
        <w:pStyle w:val="ListParagraph"/>
        <w:numPr>
          <w:ilvl w:val="0"/>
          <w:numId w:val="8"/>
        </w:numPr>
        <w:spacing w:line="240" w:lineRule="auto"/>
      </w:pPr>
      <w:r>
        <w:t xml:space="preserve">Detailed meetings with </w:t>
      </w:r>
      <w:proofErr w:type="spellStart"/>
      <w:r>
        <w:t>SENCo</w:t>
      </w:r>
      <w:proofErr w:type="spellEnd"/>
      <w:r>
        <w:t xml:space="preserve"> of new school</w:t>
      </w:r>
    </w:p>
    <w:p w14:paraId="794CCBA7" w14:textId="77777777" w:rsidR="00237AA6" w:rsidRDefault="00237AA6" w:rsidP="004206F8">
      <w:pPr>
        <w:pStyle w:val="ListParagraph"/>
        <w:numPr>
          <w:ilvl w:val="0"/>
          <w:numId w:val="8"/>
        </w:numPr>
        <w:spacing w:line="240" w:lineRule="auto"/>
      </w:pPr>
      <w:r>
        <w:t>Support for statementing of children requiring additional support</w:t>
      </w:r>
    </w:p>
    <w:p w14:paraId="122DB889" w14:textId="77777777" w:rsidR="00237AA6" w:rsidRDefault="00237AA6" w:rsidP="004206F8">
      <w:pPr>
        <w:pStyle w:val="ListParagraph"/>
        <w:numPr>
          <w:ilvl w:val="0"/>
          <w:numId w:val="8"/>
        </w:numPr>
        <w:spacing w:line="240" w:lineRule="auto"/>
      </w:pPr>
      <w:proofErr w:type="spellStart"/>
      <w:r>
        <w:t>SENCo</w:t>
      </w:r>
      <w:proofErr w:type="spellEnd"/>
      <w:r>
        <w:t xml:space="preserve"> meetings for transition day</w:t>
      </w:r>
    </w:p>
    <w:p w14:paraId="7F0D24C6" w14:textId="77777777" w:rsidR="00237AA6" w:rsidRDefault="00237AA6" w:rsidP="004206F8">
      <w:pPr>
        <w:pStyle w:val="ListParagraph"/>
        <w:numPr>
          <w:ilvl w:val="0"/>
          <w:numId w:val="8"/>
        </w:numPr>
        <w:spacing w:line="240" w:lineRule="auto"/>
      </w:pPr>
      <w:r>
        <w:t>All data and reports delivered personally to new school</w:t>
      </w:r>
    </w:p>
    <w:p w14:paraId="3648CB4C" w14:textId="77777777" w:rsidR="00237AA6" w:rsidRPr="004206F8" w:rsidRDefault="00237AA6" w:rsidP="004206F8">
      <w:pPr>
        <w:pStyle w:val="ListParagraph"/>
        <w:numPr>
          <w:ilvl w:val="0"/>
          <w:numId w:val="8"/>
        </w:numPr>
        <w:spacing w:line="240" w:lineRule="auto"/>
      </w:pPr>
      <w:r>
        <w:t>Transition workshops</w:t>
      </w:r>
    </w:p>
    <w:p w14:paraId="21ABF6C2" w14:textId="77777777" w:rsidR="009B4A90" w:rsidRPr="009B4A90" w:rsidRDefault="009B4A90" w:rsidP="009B4A90">
      <w:pPr>
        <w:spacing w:line="240" w:lineRule="auto"/>
      </w:pPr>
      <w:r w:rsidRPr="009B4A90">
        <w:t>We</w:t>
      </w:r>
      <w:r w:rsidR="00237AA6">
        <w:t xml:space="preserve"> </w:t>
      </w:r>
      <w:r w:rsidR="00237AA6">
        <w:rPr>
          <w:b/>
        </w:rPr>
        <w:t>always</w:t>
      </w:r>
      <w:r w:rsidRPr="009B4A90">
        <w:t xml:space="preserve"> closely monitor children and young people</w:t>
      </w:r>
      <w:r w:rsidR="00474937">
        <w:t>’s</w:t>
      </w:r>
      <w:r w:rsidRPr="009B4A90">
        <w:t xml:space="preserve"> destination data.</w:t>
      </w:r>
    </w:p>
    <w:p w14:paraId="5D262347" w14:textId="77777777" w:rsidR="00E77C7D" w:rsidRPr="00474937" w:rsidRDefault="00E77C7D" w:rsidP="00E77C7D">
      <w:pPr>
        <w:pBdr>
          <w:bottom w:val="single" w:sz="4" w:space="1" w:color="auto"/>
        </w:pBdr>
        <w:spacing w:line="240" w:lineRule="auto"/>
        <w:rPr>
          <w:b/>
          <w:sz w:val="24"/>
        </w:rPr>
      </w:pPr>
      <w:r w:rsidRPr="00474937">
        <w:rPr>
          <w:b/>
          <w:sz w:val="24"/>
        </w:rPr>
        <w:t>Complaints</w:t>
      </w:r>
    </w:p>
    <w:p w14:paraId="1B243A7B" w14:textId="77777777" w:rsidR="00237AA6" w:rsidRDefault="00237AA6" w:rsidP="00E77C7D">
      <w:pPr>
        <w:spacing w:line="240" w:lineRule="auto"/>
      </w:pPr>
      <w:r>
        <w:t>Our complaints procedure is available from the school office.</w:t>
      </w:r>
    </w:p>
    <w:p w14:paraId="21C74295" w14:textId="77777777" w:rsidR="009B4A90" w:rsidRPr="009B4A90" w:rsidRDefault="009B4A90" w:rsidP="009B4A90">
      <w:pPr>
        <w:pBdr>
          <w:bottom w:val="single" w:sz="4" w:space="1" w:color="auto"/>
        </w:pBdr>
        <w:spacing w:line="240" w:lineRule="auto"/>
        <w:rPr>
          <w:b/>
          <w:sz w:val="24"/>
        </w:rPr>
      </w:pPr>
      <w:r w:rsidRPr="009B4A90">
        <w:rPr>
          <w:b/>
          <w:sz w:val="24"/>
        </w:rPr>
        <w:t>Further development</w:t>
      </w:r>
    </w:p>
    <w:p w14:paraId="745213BC" w14:textId="77777777" w:rsidR="009B4A90" w:rsidRDefault="009B4A90" w:rsidP="00E77C7D">
      <w:pPr>
        <w:spacing w:line="240" w:lineRule="auto"/>
        <w:rPr>
          <w:color w:val="0070C0"/>
        </w:rPr>
      </w:pPr>
      <w:r w:rsidRPr="005D66D8">
        <w:t xml:space="preserve">Our strategic plans for developing and enhancing SEN provision in our school next year include </w:t>
      </w:r>
      <w:r>
        <w:rPr>
          <w:color w:val="0070C0"/>
        </w:rPr>
        <w:t>...</w:t>
      </w:r>
    </w:p>
    <w:p w14:paraId="0BCC09B0" w14:textId="77777777" w:rsidR="00237AA6" w:rsidRPr="00237AA6" w:rsidRDefault="00237AA6" w:rsidP="00237AA6">
      <w:pPr>
        <w:rPr>
          <w:b/>
        </w:rPr>
      </w:pPr>
      <w:r w:rsidRPr="00237AA6">
        <w:rPr>
          <w:b/>
        </w:rPr>
        <w:t>Outcomes: What success will look like for pupils</w:t>
      </w:r>
    </w:p>
    <w:p w14:paraId="2D9C581D" w14:textId="77777777" w:rsidR="00237AA6" w:rsidRPr="00237AA6" w:rsidRDefault="00237AA6" w:rsidP="00237AA6">
      <w:pPr>
        <w:rPr>
          <w:b/>
        </w:rPr>
      </w:pPr>
      <w:r w:rsidRPr="00237AA6">
        <w:rPr>
          <w:b/>
        </w:rPr>
        <w:lastRenderedPageBreak/>
        <w:t>Pupils with SEN will be confident at identifying personal targets and evaluate how they are progressing towards them.</w:t>
      </w:r>
    </w:p>
    <w:p w14:paraId="61ED2CB2" w14:textId="77777777" w:rsidR="00237AA6" w:rsidRPr="00237AA6" w:rsidRDefault="00237AA6" w:rsidP="00237AA6">
      <w:pPr>
        <w:rPr>
          <w:b/>
        </w:rPr>
      </w:pPr>
      <w:r w:rsidRPr="00237AA6">
        <w:rPr>
          <w:b/>
        </w:rPr>
        <w:t>Pupils with SEN make expected progress in lessons and reach their individual target</w:t>
      </w:r>
    </w:p>
    <w:p w14:paraId="62D89289" w14:textId="77777777" w:rsidR="00237AA6" w:rsidRPr="00237AA6" w:rsidRDefault="00237AA6" w:rsidP="00237AA6">
      <w:pPr>
        <w:rPr>
          <w:b/>
        </w:rPr>
      </w:pPr>
      <w:r w:rsidRPr="00237AA6">
        <w:rPr>
          <w:b/>
        </w:rPr>
        <w:t>Pupils with SEN can evaluate their learning effectively and identify next steps for themselves.</w:t>
      </w:r>
    </w:p>
    <w:p w14:paraId="297A84DC" w14:textId="77777777" w:rsidR="00237AA6" w:rsidRDefault="00237AA6" w:rsidP="00237AA6">
      <w:pPr>
        <w:rPr>
          <w:b/>
        </w:rPr>
      </w:pPr>
      <w:r w:rsidRPr="00237AA6">
        <w:rPr>
          <w:b/>
        </w:rPr>
        <w:t>Teachers have a good understanding of how to meet the needs of children with ASD and SP&amp;L difficulties and can plan appropriate learning opportunities.</w:t>
      </w:r>
    </w:p>
    <w:p w14:paraId="5C47C5C2" w14:textId="77777777" w:rsidR="0009116A" w:rsidRDefault="0009116A" w:rsidP="00237AA6">
      <w:pPr>
        <w:rPr>
          <w:b/>
        </w:rPr>
      </w:pPr>
      <w:r>
        <w:rPr>
          <w:b/>
        </w:rPr>
        <w:t>Phased inclusion of children who have high level needs</w:t>
      </w:r>
    </w:p>
    <w:p w14:paraId="487A9B83" w14:textId="77777777" w:rsidR="0009116A" w:rsidRDefault="0009116A" w:rsidP="00237AA6">
      <w:pPr>
        <w:rPr>
          <w:b/>
        </w:rPr>
      </w:pPr>
      <w:r>
        <w:rPr>
          <w:b/>
        </w:rPr>
        <w:t>Accelerated progress of children with SEN meaning they can be removed from the SEND register</w:t>
      </w:r>
    </w:p>
    <w:p w14:paraId="22ACC9FB" w14:textId="77777777" w:rsidR="0009116A" w:rsidRPr="00237AA6" w:rsidRDefault="0009116A" w:rsidP="00237AA6">
      <w:pPr>
        <w:rPr>
          <w:b/>
        </w:rPr>
      </w:pPr>
      <w:r>
        <w:rPr>
          <w:b/>
        </w:rPr>
        <w:t>Targeted interventions to provide ‘catch up’ in the areas of Literacy and Numeracy to ensure that the gaps do not widen for SEND children</w:t>
      </w:r>
    </w:p>
    <w:p w14:paraId="59CD7068" w14:textId="77777777" w:rsidR="009B4A90" w:rsidRDefault="009B4A90" w:rsidP="00E77C7D">
      <w:pPr>
        <w:spacing w:line="240" w:lineRule="auto"/>
        <w:rPr>
          <w:color w:val="0070C0"/>
        </w:rPr>
      </w:pPr>
    </w:p>
    <w:p w14:paraId="395E37E6" w14:textId="77777777" w:rsidR="009B4A90" w:rsidRDefault="009B4A90" w:rsidP="00E77C7D">
      <w:pPr>
        <w:spacing w:line="240" w:lineRule="auto"/>
        <w:rPr>
          <w:color w:val="0070C0"/>
        </w:rPr>
      </w:pPr>
      <w:r w:rsidRPr="005D66D8">
        <w:t>In preparing this report we have include</w:t>
      </w:r>
      <w:r w:rsidR="00EC356D">
        <w:t>d</w:t>
      </w:r>
      <w:r w:rsidR="00BA6918">
        <w:t xml:space="preserve"> staff, parents and children and </w:t>
      </w:r>
      <w:r w:rsidRPr="005D66D8">
        <w:t>young people through</w:t>
      </w:r>
      <w:r w:rsidR="00237AA6">
        <w:rPr>
          <w:color w:val="0070C0"/>
        </w:rPr>
        <w:t>:</w:t>
      </w:r>
    </w:p>
    <w:p w14:paraId="6E933E88" w14:textId="77777777" w:rsidR="00237AA6" w:rsidRDefault="00237AA6" w:rsidP="00237AA6">
      <w:pPr>
        <w:pStyle w:val="ListParagraph"/>
        <w:numPr>
          <w:ilvl w:val="0"/>
          <w:numId w:val="10"/>
        </w:numPr>
        <w:spacing w:line="240" w:lineRule="auto"/>
      </w:pPr>
      <w:r>
        <w:t>Listening to their views</w:t>
      </w:r>
    </w:p>
    <w:p w14:paraId="21D2C84A" w14:textId="77777777" w:rsidR="00237AA6" w:rsidRDefault="00237AA6" w:rsidP="00237AA6">
      <w:pPr>
        <w:pStyle w:val="ListParagraph"/>
        <w:numPr>
          <w:ilvl w:val="0"/>
          <w:numId w:val="10"/>
        </w:numPr>
        <w:spacing w:line="240" w:lineRule="auto"/>
      </w:pPr>
      <w:r>
        <w:t>Encouraging parents to complete questionnaires</w:t>
      </w:r>
    </w:p>
    <w:p w14:paraId="2E5A937A" w14:textId="77777777" w:rsidR="00237AA6" w:rsidRDefault="00237AA6" w:rsidP="00237AA6">
      <w:pPr>
        <w:pStyle w:val="ListParagraph"/>
        <w:numPr>
          <w:ilvl w:val="0"/>
          <w:numId w:val="10"/>
        </w:numPr>
        <w:spacing w:line="240" w:lineRule="auto"/>
      </w:pPr>
      <w:r>
        <w:t>Working with the Local Authority to publish our Local Offer</w:t>
      </w:r>
    </w:p>
    <w:p w14:paraId="63D88BEE" w14:textId="42E9B59A" w:rsidR="00237AA6" w:rsidRDefault="00237AA6" w:rsidP="00237AA6">
      <w:pPr>
        <w:pStyle w:val="ListParagraph"/>
        <w:numPr>
          <w:ilvl w:val="0"/>
          <w:numId w:val="10"/>
        </w:numPr>
        <w:spacing w:line="240" w:lineRule="auto"/>
      </w:pPr>
      <w:r>
        <w:t>Creating ‘child friendly’ IEPs</w:t>
      </w:r>
    </w:p>
    <w:p w14:paraId="2ADFD105" w14:textId="3AD3BB65" w:rsidR="00474937" w:rsidRPr="004F4021" w:rsidRDefault="00237AA6" w:rsidP="00E77C7D">
      <w:pPr>
        <w:pStyle w:val="ListParagraph"/>
        <w:numPr>
          <w:ilvl w:val="0"/>
          <w:numId w:val="10"/>
        </w:numPr>
        <w:spacing w:line="240" w:lineRule="auto"/>
        <w:rPr>
          <w:color w:val="0070C0"/>
        </w:rPr>
      </w:pPr>
      <w:r>
        <w:t xml:space="preserve">Publishing our work on the school website and inviting comments and feedback </w:t>
      </w:r>
    </w:p>
    <w:p w14:paraId="676288E7" w14:textId="77777777" w:rsidR="00474937" w:rsidRPr="005D66D8" w:rsidRDefault="005D66D8" w:rsidP="00E77C7D">
      <w:pPr>
        <w:spacing w:line="240" w:lineRule="auto"/>
        <w:rPr>
          <w:b/>
        </w:rPr>
      </w:pPr>
      <w:r>
        <w:rPr>
          <w:b/>
        </w:rPr>
        <w:t>Relevant s</w:t>
      </w:r>
      <w:r w:rsidRPr="005D66D8">
        <w:rPr>
          <w:b/>
        </w:rPr>
        <w:t xml:space="preserve">chool </w:t>
      </w:r>
      <w:r>
        <w:rPr>
          <w:b/>
        </w:rPr>
        <w:t>p</w:t>
      </w:r>
      <w:r w:rsidRPr="005D66D8">
        <w:rPr>
          <w:b/>
        </w:rPr>
        <w:t>olicies underpinning this SEN</w:t>
      </w:r>
      <w:r w:rsidR="00D61496">
        <w:rPr>
          <w:b/>
        </w:rPr>
        <w:t>D</w:t>
      </w:r>
      <w:r w:rsidRPr="005D66D8">
        <w:rPr>
          <w:b/>
        </w:rPr>
        <w:t xml:space="preserve"> Information Report include:</w:t>
      </w:r>
    </w:p>
    <w:p w14:paraId="4A2AE8D3" w14:textId="6032C093" w:rsidR="005D66D8" w:rsidRDefault="00455E9C" w:rsidP="00E77C7D">
      <w:pPr>
        <w:spacing w:line="240" w:lineRule="auto"/>
        <w:rPr>
          <w:b/>
        </w:rPr>
      </w:pPr>
      <w:r>
        <w:rPr>
          <w:b/>
        </w:rPr>
        <w:t xml:space="preserve">SEND Policy </w:t>
      </w:r>
      <w:r w:rsidR="004F4021">
        <w:rPr>
          <w:b/>
        </w:rPr>
        <w:t xml:space="preserve">2018/2019 </w:t>
      </w:r>
    </w:p>
    <w:p w14:paraId="13B682F8" w14:textId="70F14DFA" w:rsidR="00237AA6" w:rsidRDefault="00237AA6" w:rsidP="00E77C7D">
      <w:pPr>
        <w:spacing w:line="240" w:lineRule="auto"/>
        <w:rPr>
          <w:b/>
        </w:rPr>
      </w:pPr>
      <w:r>
        <w:rPr>
          <w:b/>
        </w:rPr>
        <w:t>Equal Opportunities Policy</w:t>
      </w:r>
    </w:p>
    <w:p w14:paraId="5BCB1313" w14:textId="77777777" w:rsidR="002151CA" w:rsidRDefault="002151CA" w:rsidP="00E77C7D">
      <w:pPr>
        <w:spacing w:line="240" w:lineRule="auto"/>
        <w:rPr>
          <w:b/>
        </w:rPr>
      </w:pPr>
      <w:r>
        <w:rPr>
          <w:b/>
        </w:rPr>
        <w:t>Safeguarding Children</w:t>
      </w:r>
    </w:p>
    <w:p w14:paraId="18A79579" w14:textId="77777777" w:rsidR="002151CA" w:rsidRPr="00237AA6" w:rsidRDefault="002151CA" w:rsidP="00E77C7D">
      <w:pPr>
        <w:spacing w:line="240" w:lineRule="auto"/>
        <w:rPr>
          <w:b/>
        </w:rPr>
      </w:pPr>
      <w:r>
        <w:rPr>
          <w:b/>
        </w:rPr>
        <w:t>Complaints Policy</w:t>
      </w:r>
    </w:p>
    <w:p w14:paraId="701E0710" w14:textId="77777777" w:rsidR="005D66D8" w:rsidRPr="005D66D8" w:rsidRDefault="005D66D8" w:rsidP="00E77C7D">
      <w:pPr>
        <w:spacing w:line="240" w:lineRule="auto"/>
        <w:rPr>
          <w:b/>
        </w:rPr>
      </w:pPr>
      <w:r w:rsidRPr="005D66D8">
        <w:rPr>
          <w:b/>
        </w:rPr>
        <w:t>Legislative Acts taken into account when compiling this report include:</w:t>
      </w:r>
    </w:p>
    <w:p w14:paraId="4B01F549" w14:textId="77777777" w:rsidR="005D66D8" w:rsidRPr="005D66D8" w:rsidRDefault="005D66D8" w:rsidP="005D66D8">
      <w:pPr>
        <w:pStyle w:val="ListParagraph"/>
        <w:numPr>
          <w:ilvl w:val="0"/>
          <w:numId w:val="6"/>
        </w:numPr>
        <w:spacing w:line="240" w:lineRule="auto"/>
      </w:pPr>
      <w:r w:rsidRPr="005D66D8">
        <w:t>Children &amp; Families Act 2014</w:t>
      </w:r>
    </w:p>
    <w:p w14:paraId="252BD0C1" w14:textId="77777777" w:rsidR="005D66D8" w:rsidRPr="005D66D8" w:rsidRDefault="005D66D8" w:rsidP="005D66D8">
      <w:pPr>
        <w:pStyle w:val="ListParagraph"/>
        <w:numPr>
          <w:ilvl w:val="0"/>
          <w:numId w:val="6"/>
        </w:numPr>
        <w:spacing w:line="240" w:lineRule="auto"/>
      </w:pPr>
      <w:r w:rsidRPr="005D66D8">
        <w:t>Equality Act 2010</w:t>
      </w:r>
    </w:p>
    <w:p w14:paraId="1CF450C9" w14:textId="77777777" w:rsidR="002151CA" w:rsidRDefault="005D66D8" w:rsidP="002151CA">
      <w:pPr>
        <w:pStyle w:val="ListParagraph"/>
        <w:numPr>
          <w:ilvl w:val="0"/>
          <w:numId w:val="6"/>
        </w:numPr>
        <w:spacing w:line="240" w:lineRule="auto"/>
      </w:pPr>
      <w:r w:rsidRPr="005D66D8">
        <w:t>Mental Capacity Act</w:t>
      </w:r>
      <w:r>
        <w:t xml:space="preserve"> 2005</w:t>
      </w:r>
    </w:p>
    <w:p w14:paraId="63CBEC3C" w14:textId="77777777" w:rsidR="002151CA" w:rsidRPr="002151CA" w:rsidRDefault="002151CA" w:rsidP="002151CA">
      <w:pPr>
        <w:pStyle w:val="ListParagraph"/>
        <w:numPr>
          <w:ilvl w:val="0"/>
          <w:numId w:val="6"/>
        </w:numPr>
        <w:spacing w:line="240" w:lineRule="auto"/>
      </w:pPr>
      <w:r w:rsidRPr="002151CA">
        <w:rPr>
          <w:rFonts w:cs="Arial"/>
          <w:szCs w:val="24"/>
        </w:rPr>
        <w:t>Special Educational Needs and Disability Regulations 2014</w:t>
      </w:r>
    </w:p>
    <w:p w14:paraId="2132A300" w14:textId="77777777" w:rsidR="002151CA" w:rsidRPr="005F7DC2" w:rsidRDefault="002151CA" w:rsidP="002151CA">
      <w:pPr>
        <w:pStyle w:val="Title"/>
        <w:numPr>
          <w:ilvl w:val="0"/>
          <w:numId w:val="11"/>
        </w:numPr>
        <w:jc w:val="both"/>
        <w:rPr>
          <w:rFonts w:asciiTheme="minorHAnsi" w:hAnsiTheme="minorHAnsi" w:cs="Arial"/>
          <w:b w:val="0"/>
          <w:szCs w:val="24"/>
          <w:u w:val="none"/>
        </w:rPr>
      </w:pPr>
      <w:r w:rsidRPr="005F7DC2">
        <w:rPr>
          <w:rFonts w:asciiTheme="minorHAnsi" w:hAnsiTheme="minorHAnsi" w:cs="Arial"/>
          <w:b w:val="0"/>
          <w:szCs w:val="24"/>
          <w:u w:val="none"/>
        </w:rPr>
        <w:t>Special Educational Needs Code of Practice 2014</w:t>
      </w:r>
    </w:p>
    <w:p w14:paraId="2EA3EB60" w14:textId="77777777" w:rsidR="002151CA" w:rsidRPr="005F7DC2" w:rsidRDefault="002151CA" w:rsidP="002151CA">
      <w:pPr>
        <w:pStyle w:val="Title"/>
        <w:numPr>
          <w:ilvl w:val="0"/>
          <w:numId w:val="11"/>
        </w:numPr>
        <w:jc w:val="both"/>
        <w:rPr>
          <w:rFonts w:asciiTheme="minorHAnsi" w:hAnsiTheme="minorHAnsi" w:cs="Arial"/>
          <w:b w:val="0"/>
          <w:szCs w:val="24"/>
          <w:u w:val="none"/>
        </w:rPr>
      </w:pPr>
      <w:r w:rsidRPr="005F7DC2">
        <w:rPr>
          <w:rFonts w:asciiTheme="minorHAnsi" w:hAnsiTheme="minorHAnsi" w:cs="Arial"/>
          <w:b w:val="0"/>
          <w:szCs w:val="24"/>
          <w:u w:val="none"/>
        </w:rPr>
        <w:t>Statutory Guidance on Supporting Pupils with Medical Conditions 2014</w:t>
      </w:r>
    </w:p>
    <w:p w14:paraId="61899A70" w14:textId="77777777" w:rsidR="002151CA" w:rsidRPr="005F7DC2" w:rsidRDefault="002151CA" w:rsidP="002151CA">
      <w:pPr>
        <w:pStyle w:val="Title"/>
        <w:numPr>
          <w:ilvl w:val="0"/>
          <w:numId w:val="11"/>
        </w:numPr>
        <w:jc w:val="both"/>
        <w:rPr>
          <w:rFonts w:asciiTheme="minorHAnsi" w:hAnsiTheme="minorHAnsi" w:cs="Arial"/>
          <w:b w:val="0"/>
          <w:szCs w:val="24"/>
          <w:u w:val="none"/>
        </w:rPr>
      </w:pPr>
      <w:r w:rsidRPr="005F7DC2">
        <w:rPr>
          <w:rFonts w:asciiTheme="minorHAnsi" w:hAnsiTheme="minorHAnsi" w:cs="Arial"/>
          <w:b w:val="0"/>
          <w:szCs w:val="24"/>
          <w:u w:val="none"/>
        </w:rPr>
        <w:t>Teachers’ Standards 2012</w:t>
      </w:r>
    </w:p>
    <w:p w14:paraId="76F6AF59" w14:textId="77777777" w:rsidR="002151CA" w:rsidRPr="005F7DC2" w:rsidRDefault="002151CA" w:rsidP="002151CA">
      <w:pPr>
        <w:rPr>
          <w:sz w:val="24"/>
          <w:szCs w:val="24"/>
        </w:rPr>
      </w:pPr>
      <w:r>
        <w:rPr>
          <w:sz w:val="24"/>
          <w:szCs w:val="24"/>
        </w:rPr>
        <w:t>This report</w:t>
      </w:r>
      <w:r w:rsidRPr="005F7DC2">
        <w:rPr>
          <w:sz w:val="24"/>
          <w:szCs w:val="24"/>
        </w:rPr>
        <w:t xml:space="preserve"> is written in line with the requirements of:- </w:t>
      </w:r>
    </w:p>
    <w:p w14:paraId="70B1E26A" w14:textId="77777777" w:rsidR="002151CA" w:rsidRPr="005F7DC2" w:rsidRDefault="002151CA" w:rsidP="002151CA">
      <w:pPr>
        <w:numPr>
          <w:ilvl w:val="0"/>
          <w:numId w:val="12"/>
        </w:numPr>
        <w:spacing w:after="0"/>
        <w:rPr>
          <w:sz w:val="24"/>
          <w:szCs w:val="24"/>
        </w:rPr>
      </w:pPr>
      <w:r w:rsidRPr="005F7DC2">
        <w:rPr>
          <w:sz w:val="24"/>
          <w:szCs w:val="24"/>
        </w:rPr>
        <w:t>Our School Local Offer which is located on our website</w:t>
      </w:r>
    </w:p>
    <w:p w14:paraId="7347EAB9" w14:textId="77777777" w:rsidR="002151CA" w:rsidRPr="005F7DC2" w:rsidRDefault="002151CA" w:rsidP="002151CA">
      <w:pPr>
        <w:numPr>
          <w:ilvl w:val="0"/>
          <w:numId w:val="12"/>
        </w:numPr>
        <w:spacing w:after="0"/>
        <w:rPr>
          <w:sz w:val="24"/>
          <w:szCs w:val="24"/>
        </w:rPr>
      </w:pPr>
      <w:r w:rsidRPr="005F7DC2">
        <w:rPr>
          <w:sz w:val="24"/>
          <w:szCs w:val="24"/>
        </w:rPr>
        <w:t>Part 3 of the Children and Families Act 2014</w:t>
      </w:r>
    </w:p>
    <w:p w14:paraId="2904C2E7" w14:textId="77777777" w:rsidR="002151CA" w:rsidRPr="005F7DC2" w:rsidRDefault="002151CA" w:rsidP="002151CA">
      <w:pPr>
        <w:numPr>
          <w:ilvl w:val="0"/>
          <w:numId w:val="12"/>
        </w:numPr>
        <w:spacing w:after="0"/>
        <w:rPr>
          <w:sz w:val="24"/>
          <w:szCs w:val="24"/>
        </w:rPr>
      </w:pPr>
      <w:r w:rsidRPr="005F7DC2">
        <w:rPr>
          <w:sz w:val="24"/>
          <w:szCs w:val="24"/>
        </w:rPr>
        <w:t xml:space="preserve">SEN Code of Practice 2014 </w:t>
      </w:r>
    </w:p>
    <w:p w14:paraId="36B5EFF6" w14:textId="77777777" w:rsidR="002151CA" w:rsidRPr="005F7DC2" w:rsidRDefault="002151CA" w:rsidP="002151CA">
      <w:pPr>
        <w:numPr>
          <w:ilvl w:val="0"/>
          <w:numId w:val="12"/>
        </w:numPr>
        <w:spacing w:after="0"/>
        <w:rPr>
          <w:sz w:val="24"/>
          <w:szCs w:val="24"/>
        </w:rPr>
      </w:pPr>
      <w:r w:rsidRPr="005F7DC2">
        <w:rPr>
          <w:sz w:val="24"/>
          <w:szCs w:val="24"/>
        </w:rPr>
        <w:lastRenderedPageBreak/>
        <w:t xml:space="preserve">The Special Educational Needs and Disability Regulations 2014 </w:t>
      </w:r>
    </w:p>
    <w:p w14:paraId="7CC37440" w14:textId="77777777" w:rsidR="002151CA" w:rsidRPr="005F7DC2" w:rsidRDefault="002151CA" w:rsidP="002151CA">
      <w:pPr>
        <w:numPr>
          <w:ilvl w:val="0"/>
          <w:numId w:val="12"/>
        </w:numPr>
        <w:spacing w:after="0"/>
        <w:rPr>
          <w:sz w:val="24"/>
          <w:szCs w:val="24"/>
        </w:rPr>
      </w:pPr>
      <w:r w:rsidRPr="005F7DC2">
        <w:rPr>
          <w:sz w:val="24"/>
          <w:szCs w:val="24"/>
        </w:rPr>
        <w:t xml:space="preserve">The Special Educational Needs (Personal Budgets and Direct Payments) Regulations, Section 49 </w:t>
      </w:r>
    </w:p>
    <w:p w14:paraId="714FAAD1" w14:textId="77777777" w:rsidR="002151CA" w:rsidRPr="005F7DC2" w:rsidRDefault="002151CA" w:rsidP="002151CA">
      <w:pPr>
        <w:numPr>
          <w:ilvl w:val="0"/>
          <w:numId w:val="12"/>
        </w:numPr>
        <w:spacing w:after="0"/>
        <w:rPr>
          <w:sz w:val="24"/>
          <w:szCs w:val="24"/>
        </w:rPr>
      </w:pPr>
      <w:r w:rsidRPr="005F7DC2">
        <w:rPr>
          <w:sz w:val="24"/>
          <w:szCs w:val="24"/>
        </w:rPr>
        <w:t xml:space="preserve">The Order setting out transitional arrangements, Section 137 </w:t>
      </w:r>
    </w:p>
    <w:p w14:paraId="1858FF9A" w14:textId="77777777" w:rsidR="002151CA" w:rsidRPr="005F7DC2" w:rsidRDefault="002151CA" w:rsidP="002151CA">
      <w:pPr>
        <w:numPr>
          <w:ilvl w:val="0"/>
          <w:numId w:val="12"/>
        </w:numPr>
        <w:spacing w:after="0"/>
        <w:rPr>
          <w:sz w:val="24"/>
          <w:szCs w:val="24"/>
        </w:rPr>
      </w:pPr>
      <w:r w:rsidRPr="005F7DC2">
        <w:rPr>
          <w:sz w:val="24"/>
          <w:szCs w:val="24"/>
        </w:rPr>
        <w:t>The Equality Act 2010</w:t>
      </w:r>
    </w:p>
    <w:p w14:paraId="29526B2C" w14:textId="77777777" w:rsidR="002151CA" w:rsidRPr="005D66D8" w:rsidRDefault="002151CA" w:rsidP="002151CA">
      <w:pPr>
        <w:spacing w:line="240" w:lineRule="auto"/>
        <w:ind w:left="360"/>
      </w:pPr>
    </w:p>
    <w:p w14:paraId="59E6419D" w14:textId="74496515" w:rsidR="00474937" w:rsidRPr="00474937" w:rsidRDefault="00474937" w:rsidP="00E77C7D">
      <w:pPr>
        <w:spacing w:line="240" w:lineRule="auto"/>
        <w:rPr>
          <w:b/>
        </w:rPr>
      </w:pPr>
    </w:p>
    <w:sectPr w:rsidR="00474937" w:rsidRPr="00474937" w:rsidSect="00474937">
      <w:footerReference w:type="default" r:id="rId14"/>
      <w:pgSz w:w="11906" w:h="16838" w:code="9"/>
      <w:pgMar w:top="1251" w:right="181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691E" w14:textId="77777777" w:rsidR="00702272" w:rsidRDefault="00702272" w:rsidP="00E77C7D">
      <w:pPr>
        <w:spacing w:after="0" w:line="240" w:lineRule="auto"/>
      </w:pPr>
      <w:r>
        <w:separator/>
      </w:r>
    </w:p>
  </w:endnote>
  <w:endnote w:type="continuationSeparator" w:id="0">
    <w:p w14:paraId="458A3A73" w14:textId="77777777" w:rsidR="00702272" w:rsidRDefault="00702272" w:rsidP="00E7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D0B8" w14:textId="77777777" w:rsidR="00BA6918" w:rsidRDefault="00123D04">
    <w:pPr>
      <w:pStyle w:val="Footer"/>
    </w:pPr>
    <w:r>
      <w:t xml:space="preserve">SEN Information Report (Sept </w:t>
    </w:r>
    <w:r w:rsidR="00D61496">
      <w:t>2015</w:t>
    </w:r>
    <w:r w:rsidR="00BA6918">
      <w:t>)</w:t>
    </w:r>
    <w:r w:rsidR="00BA6918">
      <w:ptab w:relativeTo="margin" w:alignment="center" w:leader="none"/>
    </w:r>
    <w:r>
      <w:t>St Cleopas C of E Primary</w:t>
    </w:r>
    <w:r w:rsidR="00BA6918">
      <w:ptab w:relativeTo="margin" w:alignment="right" w:leader="none"/>
    </w:r>
    <w:r w:rsidR="00BA6918">
      <w:t xml:space="preserve">Page </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68E79" w14:textId="77777777" w:rsidR="00702272" w:rsidRDefault="00702272" w:rsidP="00E77C7D">
      <w:pPr>
        <w:spacing w:after="0" w:line="240" w:lineRule="auto"/>
      </w:pPr>
      <w:r>
        <w:separator/>
      </w:r>
    </w:p>
  </w:footnote>
  <w:footnote w:type="continuationSeparator" w:id="0">
    <w:p w14:paraId="39569553" w14:textId="77777777" w:rsidR="00702272" w:rsidRDefault="00702272" w:rsidP="00E77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A17"/>
    <w:multiLevelType w:val="hybridMultilevel"/>
    <w:tmpl w:val="82C2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26FF"/>
    <w:multiLevelType w:val="hybridMultilevel"/>
    <w:tmpl w:val="934C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B271B"/>
    <w:multiLevelType w:val="hybridMultilevel"/>
    <w:tmpl w:val="E21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D2FF1"/>
    <w:multiLevelType w:val="hybridMultilevel"/>
    <w:tmpl w:val="BC12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4B3D92"/>
    <w:multiLevelType w:val="hybridMultilevel"/>
    <w:tmpl w:val="85A4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151BF"/>
    <w:multiLevelType w:val="hybridMultilevel"/>
    <w:tmpl w:val="BFA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678FC"/>
    <w:multiLevelType w:val="hybridMultilevel"/>
    <w:tmpl w:val="5B3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0828E9"/>
    <w:multiLevelType w:val="hybridMultilevel"/>
    <w:tmpl w:val="5FAA81BE"/>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713D0"/>
    <w:multiLevelType w:val="hybridMultilevel"/>
    <w:tmpl w:val="9DD4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4702D6"/>
    <w:multiLevelType w:val="hybridMultilevel"/>
    <w:tmpl w:val="0094A936"/>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326B1"/>
    <w:multiLevelType w:val="hybridMultilevel"/>
    <w:tmpl w:val="1968F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D447DE"/>
    <w:multiLevelType w:val="hybridMultilevel"/>
    <w:tmpl w:val="C552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0"/>
  </w:num>
  <w:num w:numId="5">
    <w:abstractNumId w:val="9"/>
  </w:num>
  <w:num w:numId="6">
    <w:abstractNumId w:val="6"/>
  </w:num>
  <w:num w:numId="7">
    <w:abstractNumId w:val="4"/>
  </w:num>
  <w:num w:numId="8">
    <w:abstractNumId w:val="11"/>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0"/>
  <w:doNotDisplayPageBoundarie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B9"/>
    <w:rsid w:val="00053A54"/>
    <w:rsid w:val="0009116A"/>
    <w:rsid w:val="000C1C3C"/>
    <w:rsid w:val="00123D04"/>
    <w:rsid w:val="0015784A"/>
    <w:rsid w:val="001664DF"/>
    <w:rsid w:val="001D0788"/>
    <w:rsid w:val="002151CA"/>
    <w:rsid w:val="00237AA6"/>
    <w:rsid w:val="00246520"/>
    <w:rsid w:val="00275407"/>
    <w:rsid w:val="002861AE"/>
    <w:rsid w:val="002D3182"/>
    <w:rsid w:val="002F5FB9"/>
    <w:rsid w:val="00310BD7"/>
    <w:rsid w:val="00350B81"/>
    <w:rsid w:val="00353D57"/>
    <w:rsid w:val="003A42A0"/>
    <w:rsid w:val="004206F8"/>
    <w:rsid w:val="00455E9C"/>
    <w:rsid w:val="00461DE7"/>
    <w:rsid w:val="00474937"/>
    <w:rsid w:val="004F4021"/>
    <w:rsid w:val="00577DC4"/>
    <w:rsid w:val="005D66D8"/>
    <w:rsid w:val="005F65D9"/>
    <w:rsid w:val="00680600"/>
    <w:rsid w:val="00683DAA"/>
    <w:rsid w:val="006E4A69"/>
    <w:rsid w:val="00702272"/>
    <w:rsid w:val="007315A5"/>
    <w:rsid w:val="00763893"/>
    <w:rsid w:val="008262E3"/>
    <w:rsid w:val="00841616"/>
    <w:rsid w:val="00843187"/>
    <w:rsid w:val="008E31A7"/>
    <w:rsid w:val="009107D4"/>
    <w:rsid w:val="00936AB5"/>
    <w:rsid w:val="00936D28"/>
    <w:rsid w:val="009834D6"/>
    <w:rsid w:val="00986A9F"/>
    <w:rsid w:val="00996EF0"/>
    <w:rsid w:val="009B4A90"/>
    <w:rsid w:val="009D440A"/>
    <w:rsid w:val="00A00026"/>
    <w:rsid w:val="00A05FBA"/>
    <w:rsid w:val="00A5184B"/>
    <w:rsid w:val="00A65069"/>
    <w:rsid w:val="00AB1353"/>
    <w:rsid w:val="00AB6251"/>
    <w:rsid w:val="00B25B6D"/>
    <w:rsid w:val="00BA6918"/>
    <w:rsid w:val="00BE2C60"/>
    <w:rsid w:val="00BF1A6C"/>
    <w:rsid w:val="00C562CA"/>
    <w:rsid w:val="00CE34B0"/>
    <w:rsid w:val="00D61496"/>
    <w:rsid w:val="00D80980"/>
    <w:rsid w:val="00DC58F2"/>
    <w:rsid w:val="00DF075B"/>
    <w:rsid w:val="00E05ECE"/>
    <w:rsid w:val="00E47653"/>
    <w:rsid w:val="00E555F7"/>
    <w:rsid w:val="00E706BA"/>
    <w:rsid w:val="00E77C7D"/>
    <w:rsid w:val="00E96679"/>
    <w:rsid w:val="00EA6D29"/>
    <w:rsid w:val="00EC356D"/>
    <w:rsid w:val="00EC6320"/>
    <w:rsid w:val="00F82505"/>
    <w:rsid w:val="00F82FA4"/>
    <w:rsid w:val="00F8782D"/>
    <w:rsid w:val="00FC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A1F7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81"/>
    <w:rPr>
      <w:rFonts w:ascii="Tahoma" w:hAnsi="Tahoma" w:cs="Tahoma"/>
      <w:sz w:val="16"/>
      <w:szCs w:val="16"/>
    </w:rPr>
  </w:style>
  <w:style w:type="paragraph" w:styleId="ListParagraph">
    <w:name w:val="List Paragraph"/>
    <w:basedOn w:val="Normal"/>
    <w:uiPriority w:val="34"/>
    <w:qFormat/>
    <w:rsid w:val="00680600"/>
    <w:pPr>
      <w:ind w:left="720"/>
      <w:contextualSpacing/>
    </w:pPr>
  </w:style>
  <w:style w:type="table" w:styleId="TableGrid">
    <w:name w:val="Table Grid"/>
    <w:basedOn w:val="TableNormal"/>
    <w:uiPriority w:val="59"/>
    <w:rsid w:val="00E7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C7D"/>
  </w:style>
  <w:style w:type="paragraph" w:styleId="Footer">
    <w:name w:val="footer"/>
    <w:basedOn w:val="Normal"/>
    <w:link w:val="FooterChar"/>
    <w:uiPriority w:val="99"/>
    <w:unhideWhenUsed/>
    <w:rsid w:val="00E77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C7D"/>
  </w:style>
  <w:style w:type="paragraph" w:styleId="Title">
    <w:name w:val="Title"/>
    <w:basedOn w:val="Normal"/>
    <w:link w:val="TitleChar"/>
    <w:qFormat/>
    <w:rsid w:val="002151CA"/>
    <w:pPr>
      <w:overflowPunct w:val="0"/>
      <w:autoSpaceDE w:val="0"/>
      <w:autoSpaceDN w:val="0"/>
      <w:adjustRightInd w:val="0"/>
      <w:spacing w:after="0" w:line="240" w:lineRule="auto"/>
      <w:jc w:val="center"/>
      <w:textAlignment w:val="baseline"/>
    </w:pPr>
    <w:rPr>
      <w:rFonts w:ascii="Comic Sans MS" w:eastAsia="Times New Roman" w:hAnsi="Comic Sans MS" w:cs="Times New Roman"/>
      <w:b/>
      <w:sz w:val="24"/>
      <w:szCs w:val="20"/>
      <w:u w:val="single"/>
      <w:lang w:eastAsia="en-US"/>
    </w:rPr>
  </w:style>
  <w:style w:type="character" w:customStyle="1" w:styleId="TitleChar">
    <w:name w:val="Title Char"/>
    <w:basedOn w:val="DefaultParagraphFont"/>
    <w:link w:val="Title"/>
    <w:rsid w:val="002151CA"/>
    <w:rPr>
      <w:rFonts w:ascii="Comic Sans MS" w:eastAsia="Times New Roman" w:hAnsi="Comic Sans MS" w:cs="Times New Roman"/>
      <w:b/>
      <w:sz w:val="24"/>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11A525-2F24-42A0-918E-FA8B8C380372}"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2551B69F-4D2E-4489-95B5-F375E81DE330}">
      <dgm:prSet phldrT="[Text]"/>
      <dgm:spPr/>
      <dgm:t>
        <a:bodyPr/>
        <a:lstStyle/>
        <a:p>
          <a:pPr algn="ctr"/>
          <a:r>
            <a:rPr lang="en-GB"/>
            <a:t>Plan</a:t>
          </a:r>
        </a:p>
      </dgm:t>
    </dgm:pt>
    <dgm:pt modelId="{677D5597-50C3-49FA-A65E-318D86D9F5D8}" type="parTrans" cxnId="{A72229E5-A087-4A40-97DA-21A14A300596}">
      <dgm:prSet/>
      <dgm:spPr/>
      <dgm:t>
        <a:bodyPr/>
        <a:lstStyle/>
        <a:p>
          <a:pPr algn="ctr"/>
          <a:endParaRPr lang="en-GB"/>
        </a:p>
      </dgm:t>
    </dgm:pt>
    <dgm:pt modelId="{68281954-932F-4FB6-88A4-47D1FA15CD84}" type="sibTrans" cxnId="{A72229E5-A087-4A40-97DA-21A14A300596}">
      <dgm:prSet/>
      <dgm:spPr/>
      <dgm:t>
        <a:bodyPr/>
        <a:lstStyle/>
        <a:p>
          <a:pPr algn="ctr"/>
          <a:endParaRPr lang="en-GB"/>
        </a:p>
      </dgm:t>
    </dgm:pt>
    <dgm:pt modelId="{BB06E421-F019-43BE-8DF1-BCDB3715AC8A}">
      <dgm:prSet phldrT="[Text]"/>
      <dgm:spPr/>
      <dgm:t>
        <a:bodyPr/>
        <a:lstStyle/>
        <a:p>
          <a:pPr algn="ctr"/>
          <a:r>
            <a:rPr lang="en-GB"/>
            <a:t>Do</a:t>
          </a:r>
        </a:p>
      </dgm:t>
    </dgm:pt>
    <dgm:pt modelId="{BCAC5748-9504-4906-8C9E-7450410628FE}" type="parTrans" cxnId="{5A3F18FF-DF7B-4FF2-9F5E-C6398AF6BD9C}">
      <dgm:prSet/>
      <dgm:spPr/>
      <dgm:t>
        <a:bodyPr/>
        <a:lstStyle/>
        <a:p>
          <a:pPr algn="ctr"/>
          <a:endParaRPr lang="en-GB"/>
        </a:p>
      </dgm:t>
    </dgm:pt>
    <dgm:pt modelId="{522E8076-E4CB-49D6-BE21-81151C335A05}" type="sibTrans" cxnId="{5A3F18FF-DF7B-4FF2-9F5E-C6398AF6BD9C}">
      <dgm:prSet/>
      <dgm:spPr/>
      <dgm:t>
        <a:bodyPr/>
        <a:lstStyle/>
        <a:p>
          <a:pPr algn="ctr"/>
          <a:endParaRPr lang="en-GB"/>
        </a:p>
      </dgm:t>
    </dgm:pt>
    <dgm:pt modelId="{4D13B9C1-FCA5-4FD2-9B70-79FE4163F71A}">
      <dgm:prSet phldrT="[Text]"/>
      <dgm:spPr/>
      <dgm:t>
        <a:bodyPr/>
        <a:lstStyle/>
        <a:p>
          <a:pPr algn="ctr"/>
          <a:r>
            <a:rPr lang="en-GB"/>
            <a:t>Review</a:t>
          </a:r>
        </a:p>
      </dgm:t>
    </dgm:pt>
    <dgm:pt modelId="{BB2F63CA-2CA6-44AC-8410-48AE81332DB7}" type="parTrans" cxnId="{72AD9C04-6D95-45C4-A5C3-AF66742AD416}">
      <dgm:prSet/>
      <dgm:spPr/>
      <dgm:t>
        <a:bodyPr/>
        <a:lstStyle/>
        <a:p>
          <a:pPr algn="ctr"/>
          <a:endParaRPr lang="en-GB"/>
        </a:p>
      </dgm:t>
    </dgm:pt>
    <dgm:pt modelId="{1F5632B6-16A8-4AE1-B058-CD625018AF64}" type="sibTrans" cxnId="{72AD9C04-6D95-45C4-A5C3-AF66742AD416}">
      <dgm:prSet/>
      <dgm:spPr/>
      <dgm:t>
        <a:bodyPr/>
        <a:lstStyle/>
        <a:p>
          <a:pPr algn="ctr"/>
          <a:endParaRPr lang="en-GB"/>
        </a:p>
      </dgm:t>
    </dgm:pt>
    <dgm:pt modelId="{1C351E72-3353-423E-8C97-9DCF2E8CDEF0}">
      <dgm:prSet phldrT="[Text]"/>
      <dgm:spPr/>
      <dgm:t>
        <a:bodyPr/>
        <a:lstStyle/>
        <a:p>
          <a:pPr algn="ctr"/>
          <a:r>
            <a:rPr lang="en-GB"/>
            <a:t>Assess</a:t>
          </a:r>
        </a:p>
      </dgm:t>
    </dgm:pt>
    <dgm:pt modelId="{9954DE79-36ED-4640-A1FE-8546D5A9B940}" type="parTrans" cxnId="{E2C2E770-A752-4757-8660-42A5ECECC15D}">
      <dgm:prSet/>
      <dgm:spPr/>
      <dgm:t>
        <a:bodyPr/>
        <a:lstStyle/>
        <a:p>
          <a:pPr algn="ctr"/>
          <a:endParaRPr lang="en-GB"/>
        </a:p>
      </dgm:t>
    </dgm:pt>
    <dgm:pt modelId="{1A7626EB-8C75-47EF-8920-32A25363BC7F}" type="sibTrans" cxnId="{E2C2E770-A752-4757-8660-42A5ECECC15D}">
      <dgm:prSet/>
      <dgm:spPr/>
      <dgm:t>
        <a:bodyPr/>
        <a:lstStyle/>
        <a:p>
          <a:pPr algn="ctr"/>
          <a:endParaRPr lang="en-GB"/>
        </a:p>
      </dgm:t>
    </dgm:pt>
    <dgm:pt modelId="{DF137FA3-C389-42AC-9B22-10C9DFA54686}" type="pres">
      <dgm:prSet presAssocID="{BA11A525-2F24-42A0-918E-FA8B8C380372}" presName="cycle" presStyleCnt="0">
        <dgm:presLayoutVars>
          <dgm:dir/>
          <dgm:resizeHandles val="exact"/>
        </dgm:presLayoutVars>
      </dgm:prSet>
      <dgm:spPr/>
    </dgm:pt>
    <dgm:pt modelId="{2F5148F9-6AEF-4866-BB03-AC7D35DD4131}" type="pres">
      <dgm:prSet presAssocID="{2551B69F-4D2E-4489-95B5-F375E81DE330}" presName="dummy" presStyleCnt="0"/>
      <dgm:spPr/>
    </dgm:pt>
    <dgm:pt modelId="{396846D4-38E5-4EC7-AA95-32A50DEEA93A}" type="pres">
      <dgm:prSet presAssocID="{2551B69F-4D2E-4489-95B5-F375E81DE330}" presName="node" presStyleLbl="revTx" presStyleIdx="0" presStyleCnt="4">
        <dgm:presLayoutVars>
          <dgm:bulletEnabled val="1"/>
        </dgm:presLayoutVars>
      </dgm:prSet>
      <dgm:spPr/>
    </dgm:pt>
    <dgm:pt modelId="{39DA2CD6-12BF-4768-99A5-268F088057C4}" type="pres">
      <dgm:prSet presAssocID="{68281954-932F-4FB6-88A4-47D1FA15CD84}" presName="sibTrans" presStyleLbl="node1" presStyleIdx="0" presStyleCnt="4"/>
      <dgm:spPr/>
    </dgm:pt>
    <dgm:pt modelId="{A74CD60A-1BD8-42FF-88BC-87CC863C74BD}" type="pres">
      <dgm:prSet presAssocID="{BB06E421-F019-43BE-8DF1-BCDB3715AC8A}" presName="dummy" presStyleCnt="0"/>
      <dgm:spPr/>
    </dgm:pt>
    <dgm:pt modelId="{98453A64-5E4B-46E1-B3E2-9DF1B66364DB}" type="pres">
      <dgm:prSet presAssocID="{BB06E421-F019-43BE-8DF1-BCDB3715AC8A}" presName="node" presStyleLbl="revTx" presStyleIdx="1" presStyleCnt="4">
        <dgm:presLayoutVars>
          <dgm:bulletEnabled val="1"/>
        </dgm:presLayoutVars>
      </dgm:prSet>
      <dgm:spPr/>
    </dgm:pt>
    <dgm:pt modelId="{BFF8BDF7-6F51-4FD2-9AB5-AD9CD13B0420}" type="pres">
      <dgm:prSet presAssocID="{522E8076-E4CB-49D6-BE21-81151C335A05}" presName="sibTrans" presStyleLbl="node1" presStyleIdx="1" presStyleCnt="4"/>
      <dgm:spPr/>
    </dgm:pt>
    <dgm:pt modelId="{2E048EA5-071A-40A0-86CF-301070F262CB}" type="pres">
      <dgm:prSet presAssocID="{4D13B9C1-FCA5-4FD2-9B70-79FE4163F71A}" presName="dummy" presStyleCnt="0"/>
      <dgm:spPr/>
    </dgm:pt>
    <dgm:pt modelId="{9EED7E84-95D2-410A-852E-E307807ADD3B}" type="pres">
      <dgm:prSet presAssocID="{4D13B9C1-FCA5-4FD2-9B70-79FE4163F71A}" presName="node" presStyleLbl="revTx" presStyleIdx="2" presStyleCnt="4">
        <dgm:presLayoutVars>
          <dgm:bulletEnabled val="1"/>
        </dgm:presLayoutVars>
      </dgm:prSet>
      <dgm:spPr/>
    </dgm:pt>
    <dgm:pt modelId="{21C28455-A06C-4D2E-9C7D-5A1389191F12}" type="pres">
      <dgm:prSet presAssocID="{1F5632B6-16A8-4AE1-B058-CD625018AF64}" presName="sibTrans" presStyleLbl="node1" presStyleIdx="2" presStyleCnt="4"/>
      <dgm:spPr/>
    </dgm:pt>
    <dgm:pt modelId="{1311E5F8-DEBF-43DF-B43A-68515ACC1340}" type="pres">
      <dgm:prSet presAssocID="{1C351E72-3353-423E-8C97-9DCF2E8CDEF0}" presName="dummy" presStyleCnt="0"/>
      <dgm:spPr/>
    </dgm:pt>
    <dgm:pt modelId="{07180D36-4BC4-4794-9541-FAD93F15848E}" type="pres">
      <dgm:prSet presAssocID="{1C351E72-3353-423E-8C97-9DCF2E8CDEF0}" presName="node" presStyleLbl="revTx" presStyleIdx="3" presStyleCnt="4">
        <dgm:presLayoutVars>
          <dgm:bulletEnabled val="1"/>
        </dgm:presLayoutVars>
      </dgm:prSet>
      <dgm:spPr/>
    </dgm:pt>
    <dgm:pt modelId="{E7227198-0769-4F2E-BAA1-7E7C129DC92B}" type="pres">
      <dgm:prSet presAssocID="{1A7626EB-8C75-47EF-8920-32A25363BC7F}" presName="sibTrans" presStyleLbl="node1" presStyleIdx="3" presStyleCnt="4"/>
      <dgm:spPr/>
    </dgm:pt>
  </dgm:ptLst>
  <dgm:cxnLst>
    <dgm:cxn modelId="{72AD9C04-6D95-45C4-A5C3-AF66742AD416}" srcId="{BA11A525-2F24-42A0-918E-FA8B8C380372}" destId="{4D13B9C1-FCA5-4FD2-9B70-79FE4163F71A}" srcOrd="2" destOrd="0" parTransId="{BB2F63CA-2CA6-44AC-8410-48AE81332DB7}" sibTransId="{1F5632B6-16A8-4AE1-B058-CD625018AF64}"/>
    <dgm:cxn modelId="{41127613-8F2D-9442-A761-23B0932FA38A}" type="presOf" srcId="{522E8076-E4CB-49D6-BE21-81151C335A05}" destId="{BFF8BDF7-6F51-4FD2-9AB5-AD9CD13B0420}" srcOrd="0" destOrd="0" presId="urn:microsoft.com/office/officeart/2005/8/layout/cycle1"/>
    <dgm:cxn modelId="{6305AC22-B3D3-6449-B373-694898C0F8C4}" type="presOf" srcId="{1A7626EB-8C75-47EF-8920-32A25363BC7F}" destId="{E7227198-0769-4F2E-BAA1-7E7C129DC92B}" srcOrd="0" destOrd="0" presId="urn:microsoft.com/office/officeart/2005/8/layout/cycle1"/>
    <dgm:cxn modelId="{913BA770-6F0E-914E-97C3-72BA24B589E0}" type="presOf" srcId="{1F5632B6-16A8-4AE1-B058-CD625018AF64}" destId="{21C28455-A06C-4D2E-9C7D-5A1389191F12}" srcOrd="0" destOrd="0" presId="urn:microsoft.com/office/officeart/2005/8/layout/cycle1"/>
    <dgm:cxn modelId="{E2C2E770-A752-4757-8660-42A5ECECC15D}" srcId="{BA11A525-2F24-42A0-918E-FA8B8C380372}" destId="{1C351E72-3353-423E-8C97-9DCF2E8CDEF0}" srcOrd="3" destOrd="0" parTransId="{9954DE79-36ED-4640-A1FE-8546D5A9B940}" sibTransId="{1A7626EB-8C75-47EF-8920-32A25363BC7F}"/>
    <dgm:cxn modelId="{30D25190-05A1-2441-8874-32A090FBE302}" type="presOf" srcId="{BA11A525-2F24-42A0-918E-FA8B8C380372}" destId="{DF137FA3-C389-42AC-9B22-10C9DFA54686}" srcOrd="0" destOrd="0" presId="urn:microsoft.com/office/officeart/2005/8/layout/cycle1"/>
    <dgm:cxn modelId="{F2203693-373B-0343-9935-48B7008C03D8}" type="presOf" srcId="{2551B69F-4D2E-4489-95B5-F375E81DE330}" destId="{396846D4-38E5-4EC7-AA95-32A50DEEA93A}" srcOrd="0" destOrd="0" presId="urn:microsoft.com/office/officeart/2005/8/layout/cycle1"/>
    <dgm:cxn modelId="{E674F4B1-1E60-ED47-BF3E-DFE45CE56BC6}" type="presOf" srcId="{68281954-932F-4FB6-88A4-47D1FA15CD84}" destId="{39DA2CD6-12BF-4768-99A5-268F088057C4}" srcOrd="0" destOrd="0" presId="urn:microsoft.com/office/officeart/2005/8/layout/cycle1"/>
    <dgm:cxn modelId="{49E9C7B3-6074-9C4E-B4B4-1643BF30698A}" type="presOf" srcId="{4D13B9C1-FCA5-4FD2-9B70-79FE4163F71A}" destId="{9EED7E84-95D2-410A-852E-E307807ADD3B}" srcOrd="0" destOrd="0" presId="urn:microsoft.com/office/officeart/2005/8/layout/cycle1"/>
    <dgm:cxn modelId="{28E1A1C4-2E83-584E-9DFD-A19BD6D63740}" type="presOf" srcId="{BB06E421-F019-43BE-8DF1-BCDB3715AC8A}" destId="{98453A64-5E4B-46E1-B3E2-9DF1B66364DB}" srcOrd="0" destOrd="0" presId="urn:microsoft.com/office/officeart/2005/8/layout/cycle1"/>
    <dgm:cxn modelId="{8E4D60C9-59B3-BF48-8DA4-D3242B8881B1}" type="presOf" srcId="{1C351E72-3353-423E-8C97-9DCF2E8CDEF0}" destId="{07180D36-4BC4-4794-9541-FAD93F15848E}" srcOrd="0" destOrd="0" presId="urn:microsoft.com/office/officeart/2005/8/layout/cycle1"/>
    <dgm:cxn modelId="{A72229E5-A087-4A40-97DA-21A14A300596}" srcId="{BA11A525-2F24-42A0-918E-FA8B8C380372}" destId="{2551B69F-4D2E-4489-95B5-F375E81DE330}" srcOrd="0" destOrd="0" parTransId="{677D5597-50C3-49FA-A65E-318D86D9F5D8}" sibTransId="{68281954-932F-4FB6-88A4-47D1FA15CD84}"/>
    <dgm:cxn modelId="{5A3F18FF-DF7B-4FF2-9F5E-C6398AF6BD9C}" srcId="{BA11A525-2F24-42A0-918E-FA8B8C380372}" destId="{BB06E421-F019-43BE-8DF1-BCDB3715AC8A}" srcOrd="1" destOrd="0" parTransId="{BCAC5748-9504-4906-8C9E-7450410628FE}" sibTransId="{522E8076-E4CB-49D6-BE21-81151C335A05}"/>
    <dgm:cxn modelId="{67493237-DD68-B341-80AF-0CA5249A6015}" type="presParOf" srcId="{DF137FA3-C389-42AC-9B22-10C9DFA54686}" destId="{2F5148F9-6AEF-4866-BB03-AC7D35DD4131}" srcOrd="0" destOrd="0" presId="urn:microsoft.com/office/officeart/2005/8/layout/cycle1"/>
    <dgm:cxn modelId="{BC899196-4B5B-4A41-9F61-F9EFDDF849F1}" type="presParOf" srcId="{DF137FA3-C389-42AC-9B22-10C9DFA54686}" destId="{396846D4-38E5-4EC7-AA95-32A50DEEA93A}" srcOrd="1" destOrd="0" presId="urn:microsoft.com/office/officeart/2005/8/layout/cycle1"/>
    <dgm:cxn modelId="{BA25BF30-17B6-7744-B462-E155F2740E56}" type="presParOf" srcId="{DF137FA3-C389-42AC-9B22-10C9DFA54686}" destId="{39DA2CD6-12BF-4768-99A5-268F088057C4}" srcOrd="2" destOrd="0" presId="urn:microsoft.com/office/officeart/2005/8/layout/cycle1"/>
    <dgm:cxn modelId="{0B4CC96A-4957-8A46-A9E4-F0F490138519}" type="presParOf" srcId="{DF137FA3-C389-42AC-9B22-10C9DFA54686}" destId="{A74CD60A-1BD8-42FF-88BC-87CC863C74BD}" srcOrd="3" destOrd="0" presId="urn:microsoft.com/office/officeart/2005/8/layout/cycle1"/>
    <dgm:cxn modelId="{75189F56-64A6-CE49-BC88-F6AB97AC5ACC}" type="presParOf" srcId="{DF137FA3-C389-42AC-9B22-10C9DFA54686}" destId="{98453A64-5E4B-46E1-B3E2-9DF1B66364DB}" srcOrd="4" destOrd="0" presId="urn:microsoft.com/office/officeart/2005/8/layout/cycle1"/>
    <dgm:cxn modelId="{A309EE4D-5C57-A843-B5ED-33D60E74E988}" type="presParOf" srcId="{DF137FA3-C389-42AC-9B22-10C9DFA54686}" destId="{BFF8BDF7-6F51-4FD2-9AB5-AD9CD13B0420}" srcOrd="5" destOrd="0" presId="urn:microsoft.com/office/officeart/2005/8/layout/cycle1"/>
    <dgm:cxn modelId="{B00E6C14-27EE-A14F-9D28-B87E1F459286}" type="presParOf" srcId="{DF137FA3-C389-42AC-9B22-10C9DFA54686}" destId="{2E048EA5-071A-40A0-86CF-301070F262CB}" srcOrd="6" destOrd="0" presId="urn:microsoft.com/office/officeart/2005/8/layout/cycle1"/>
    <dgm:cxn modelId="{74ABBC97-3BCB-0C45-8A5C-59A24DBAAF1B}" type="presParOf" srcId="{DF137FA3-C389-42AC-9B22-10C9DFA54686}" destId="{9EED7E84-95D2-410A-852E-E307807ADD3B}" srcOrd="7" destOrd="0" presId="urn:microsoft.com/office/officeart/2005/8/layout/cycle1"/>
    <dgm:cxn modelId="{709D32DD-4C87-0044-AFC0-AF0C53E39BD7}" type="presParOf" srcId="{DF137FA3-C389-42AC-9B22-10C9DFA54686}" destId="{21C28455-A06C-4D2E-9C7D-5A1389191F12}" srcOrd="8" destOrd="0" presId="urn:microsoft.com/office/officeart/2005/8/layout/cycle1"/>
    <dgm:cxn modelId="{9CF39231-EA79-B44C-9267-F45C3F0006D4}" type="presParOf" srcId="{DF137FA3-C389-42AC-9B22-10C9DFA54686}" destId="{1311E5F8-DEBF-43DF-B43A-68515ACC1340}" srcOrd="9" destOrd="0" presId="urn:microsoft.com/office/officeart/2005/8/layout/cycle1"/>
    <dgm:cxn modelId="{20CDDD86-6CFA-914D-9AAF-66BE14D4A3D6}" type="presParOf" srcId="{DF137FA3-C389-42AC-9B22-10C9DFA54686}" destId="{07180D36-4BC4-4794-9541-FAD93F15848E}" srcOrd="10" destOrd="0" presId="urn:microsoft.com/office/officeart/2005/8/layout/cycle1"/>
    <dgm:cxn modelId="{A4160573-92DF-6F41-96A2-7FE733C5DDC6}" type="presParOf" srcId="{DF137FA3-C389-42AC-9B22-10C9DFA54686}" destId="{E7227198-0769-4F2E-BAA1-7E7C129DC92B}" srcOrd="11"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6846D4-38E5-4EC7-AA95-32A50DEEA93A}">
      <dsp:nvSpPr>
        <dsp:cNvPr id="0" name=""/>
        <dsp:cNvSpPr/>
      </dsp:nvSpPr>
      <dsp:spPr>
        <a:xfrm>
          <a:off x="2920057" y="33506"/>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Plan</a:t>
          </a:r>
        </a:p>
      </dsp:txBody>
      <dsp:txXfrm>
        <a:off x="2920057" y="33506"/>
        <a:ext cx="532586" cy="532586"/>
      </dsp:txXfrm>
    </dsp:sp>
    <dsp:sp modelId="{39DA2CD6-12BF-4768-99A5-268F088057C4}">
      <dsp:nvSpPr>
        <dsp:cNvPr id="0" name=""/>
        <dsp:cNvSpPr/>
      </dsp:nvSpPr>
      <dsp:spPr>
        <a:xfrm>
          <a:off x="1980986" y="-213"/>
          <a:ext cx="1505377" cy="1505377"/>
        </a:xfrm>
        <a:prstGeom prst="circularArrow">
          <a:avLst>
            <a:gd name="adj1" fmla="val 6899"/>
            <a:gd name="adj2" fmla="val 465100"/>
            <a:gd name="adj3" fmla="val 550477"/>
            <a:gd name="adj4" fmla="val 205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453A64-5E4B-46E1-B3E2-9DF1B66364DB}">
      <dsp:nvSpPr>
        <dsp:cNvPr id="0" name=""/>
        <dsp:cNvSpPr/>
      </dsp:nvSpPr>
      <dsp:spPr>
        <a:xfrm>
          <a:off x="2920057" y="938857"/>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Do</a:t>
          </a:r>
        </a:p>
      </dsp:txBody>
      <dsp:txXfrm>
        <a:off x="2920057" y="938857"/>
        <a:ext cx="532586" cy="532586"/>
      </dsp:txXfrm>
    </dsp:sp>
    <dsp:sp modelId="{BFF8BDF7-6F51-4FD2-9AB5-AD9CD13B0420}">
      <dsp:nvSpPr>
        <dsp:cNvPr id="0" name=""/>
        <dsp:cNvSpPr/>
      </dsp:nvSpPr>
      <dsp:spPr>
        <a:xfrm>
          <a:off x="1980986" y="-213"/>
          <a:ext cx="1505377" cy="1505377"/>
        </a:xfrm>
        <a:prstGeom prst="circularArrow">
          <a:avLst>
            <a:gd name="adj1" fmla="val 6899"/>
            <a:gd name="adj2" fmla="val 465100"/>
            <a:gd name="adj3" fmla="val 5950477"/>
            <a:gd name="adj4" fmla="val 43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ED7E84-95D2-410A-852E-E307807ADD3B}">
      <dsp:nvSpPr>
        <dsp:cNvPr id="0" name=""/>
        <dsp:cNvSpPr/>
      </dsp:nvSpPr>
      <dsp:spPr>
        <a:xfrm>
          <a:off x="2014706" y="938857"/>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Review</a:t>
          </a:r>
        </a:p>
      </dsp:txBody>
      <dsp:txXfrm>
        <a:off x="2014706" y="938857"/>
        <a:ext cx="532586" cy="532586"/>
      </dsp:txXfrm>
    </dsp:sp>
    <dsp:sp modelId="{21C28455-A06C-4D2E-9C7D-5A1389191F12}">
      <dsp:nvSpPr>
        <dsp:cNvPr id="0" name=""/>
        <dsp:cNvSpPr/>
      </dsp:nvSpPr>
      <dsp:spPr>
        <a:xfrm>
          <a:off x="1980986" y="-213"/>
          <a:ext cx="1505377" cy="1505377"/>
        </a:xfrm>
        <a:prstGeom prst="circularArrow">
          <a:avLst>
            <a:gd name="adj1" fmla="val 6899"/>
            <a:gd name="adj2" fmla="val 465100"/>
            <a:gd name="adj3" fmla="val 11350477"/>
            <a:gd name="adj4" fmla="val 97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180D36-4BC4-4794-9541-FAD93F15848E}">
      <dsp:nvSpPr>
        <dsp:cNvPr id="0" name=""/>
        <dsp:cNvSpPr/>
      </dsp:nvSpPr>
      <dsp:spPr>
        <a:xfrm>
          <a:off x="2014706" y="33506"/>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t>Assess</a:t>
          </a:r>
        </a:p>
      </dsp:txBody>
      <dsp:txXfrm>
        <a:off x="2014706" y="33506"/>
        <a:ext cx="532586" cy="532586"/>
      </dsp:txXfrm>
    </dsp:sp>
    <dsp:sp modelId="{E7227198-0769-4F2E-BAA1-7E7C129DC92B}">
      <dsp:nvSpPr>
        <dsp:cNvPr id="0" name=""/>
        <dsp:cNvSpPr/>
      </dsp:nvSpPr>
      <dsp:spPr>
        <a:xfrm>
          <a:off x="1980986" y="-213"/>
          <a:ext cx="1505377" cy="1505377"/>
        </a:xfrm>
        <a:prstGeom prst="circularArrow">
          <a:avLst>
            <a:gd name="adj1" fmla="val 6899"/>
            <a:gd name="adj2" fmla="val 465100"/>
            <a:gd name="adj3" fmla="val 16750477"/>
            <a:gd name="adj4" fmla="val 151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1935</Words>
  <Characters>8980</Characters>
  <Application>Microsoft Office Word</Application>
  <DocSecurity>0</DocSecurity>
  <Lines>230</Lines>
  <Paragraphs>59</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owen.carter</dc:creator>
  <cp:lastModifiedBy>Microsoft Office User</cp:lastModifiedBy>
  <cp:revision>3</cp:revision>
  <dcterms:created xsi:type="dcterms:W3CDTF">2019-03-09T17:43:00Z</dcterms:created>
  <dcterms:modified xsi:type="dcterms:W3CDTF">2019-03-11T13:25:00Z</dcterms:modified>
</cp:coreProperties>
</file>